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4FCB30" w14:textId="2A2F7C4A" w:rsidR="006B7F1E" w:rsidRPr="00195C5C" w:rsidRDefault="00195C5C" w:rsidP="00195C5C">
      <w:pPr>
        <w:jc w:val="center"/>
        <w:rPr>
          <w:b/>
          <w:bCs/>
          <w:u w:val="single"/>
        </w:rPr>
      </w:pPr>
      <w:r w:rsidRPr="00195C5C">
        <w:rPr>
          <w:b/>
          <w:bCs/>
          <w:u w:val="single"/>
        </w:rPr>
        <w:t>Q</w:t>
      </w:r>
      <w:r w:rsidR="00391842">
        <w:rPr>
          <w:b/>
          <w:bCs/>
          <w:u w:val="single"/>
        </w:rPr>
        <w:t>4</w:t>
      </w:r>
      <w:r w:rsidRPr="00195C5C">
        <w:rPr>
          <w:b/>
          <w:bCs/>
          <w:u w:val="single"/>
        </w:rPr>
        <w:t xml:space="preserve"> 202</w:t>
      </w:r>
      <w:r w:rsidR="00955E64">
        <w:rPr>
          <w:b/>
          <w:bCs/>
          <w:u w:val="single"/>
        </w:rPr>
        <w:t>1</w:t>
      </w:r>
      <w:r w:rsidRPr="00195C5C">
        <w:rPr>
          <w:b/>
          <w:bCs/>
          <w:u w:val="single"/>
        </w:rPr>
        <w:t xml:space="preserve"> New Content Ingestion Roadmap</w:t>
      </w:r>
    </w:p>
    <w:p w14:paraId="4C66A978" w14:textId="77777777" w:rsidR="00994340" w:rsidRDefault="00994340" w:rsidP="006B5A7B"/>
    <w:p w14:paraId="44C5C6A8" w14:textId="1F71DA23" w:rsidR="00994340" w:rsidRDefault="00994340" w:rsidP="00994340">
      <w:r>
        <w:t xml:space="preserve">Our goal is to provide such a list at the start of each quarter to allow better transparency of our plans and what is scoped for the coming quarter. </w:t>
      </w:r>
    </w:p>
    <w:p w14:paraId="4B19A551" w14:textId="77777777" w:rsidR="004B7D16" w:rsidRPr="004B7D16" w:rsidRDefault="00994340" w:rsidP="004B7D16">
      <w:r>
        <w:t xml:space="preserve">This list is dynamic and subject to possible changes, depending on the availability of the records and questions that may arise as we work through the ingestion process. Currently, while we work to learn and adjust to the community needs for such a list, the table below is only a partial representation of the new content that has been scoped for ingestion into the Ex Libris products. </w:t>
      </w:r>
      <w:r w:rsidR="004B7D16">
        <w:br/>
      </w:r>
      <w:r w:rsidR="004B7D16" w:rsidRPr="004B7D16">
        <w:t>A "V" mark indicates that this content is planned to be ingested to these products in the coming quarter. </w:t>
      </w:r>
    </w:p>
    <w:p w14:paraId="7262FF5A" w14:textId="2B17B2B5" w:rsidR="00994340" w:rsidRDefault="00994340" w:rsidP="00994340"/>
    <w:p w14:paraId="5AEB151B" w14:textId="77777777" w:rsidR="00994340" w:rsidRDefault="00994340" w:rsidP="00994340">
      <w:r>
        <w:t xml:space="preserve">The full lists of ingested content continue to be available weekly as part of the relevant Release Notes. </w:t>
      </w:r>
    </w:p>
    <w:p w14:paraId="1D13BDC9" w14:textId="77777777" w:rsidR="00564EAA" w:rsidRDefault="00564EAA"/>
    <w:p w14:paraId="2635466D" w14:textId="5E0010C2" w:rsidR="00E053C1" w:rsidRDefault="00A62413" w:rsidP="00AC1F2F">
      <w:r>
        <w:t xml:space="preserve">If any questions arise, please contact us via a Support Case and reference the list below. </w:t>
      </w:r>
    </w:p>
    <w:p w14:paraId="7A6BFF91" w14:textId="77777777" w:rsidR="00994340" w:rsidRDefault="00994340"/>
    <w:tbl>
      <w:tblPr>
        <w:tblStyle w:val="TableGrid"/>
        <w:tblW w:w="10345" w:type="dxa"/>
        <w:tblLayout w:type="fixed"/>
        <w:tblLook w:val="04A0" w:firstRow="1" w:lastRow="0" w:firstColumn="1" w:lastColumn="0" w:noHBand="0" w:noVBand="1"/>
      </w:tblPr>
      <w:tblGrid>
        <w:gridCol w:w="1975"/>
        <w:gridCol w:w="3330"/>
        <w:gridCol w:w="1628"/>
        <w:gridCol w:w="1432"/>
        <w:gridCol w:w="1980"/>
      </w:tblGrid>
      <w:tr w:rsidR="00040A6B" w14:paraId="691900D5" w14:textId="4DE6C8E1" w:rsidTr="0CA80A19">
        <w:tc>
          <w:tcPr>
            <w:tcW w:w="1975" w:type="dxa"/>
            <w:vAlign w:val="center"/>
          </w:tcPr>
          <w:p w14:paraId="09D468B3" w14:textId="4CDBFD6B" w:rsidR="00040A6B" w:rsidRPr="00E364EE" w:rsidRDefault="00040A6B" w:rsidP="00CF3030">
            <w:pPr>
              <w:rPr>
                <w:b/>
                <w:bCs/>
              </w:rPr>
            </w:pPr>
            <w:bookmarkStart w:id="0" w:name="_Hlk34915588"/>
            <w:r w:rsidRPr="00E364EE">
              <w:rPr>
                <w:b/>
                <w:bCs/>
              </w:rPr>
              <w:t>Provider</w:t>
            </w:r>
          </w:p>
        </w:tc>
        <w:tc>
          <w:tcPr>
            <w:tcW w:w="3330" w:type="dxa"/>
            <w:vAlign w:val="center"/>
          </w:tcPr>
          <w:p w14:paraId="34C15972" w14:textId="2FC124F3" w:rsidR="00040A6B" w:rsidRPr="00E364EE" w:rsidRDefault="00040A6B" w:rsidP="00CF3030">
            <w:pPr>
              <w:rPr>
                <w:b/>
                <w:bCs/>
              </w:rPr>
            </w:pPr>
            <w:r w:rsidRPr="00E364EE">
              <w:rPr>
                <w:b/>
                <w:bCs/>
              </w:rPr>
              <w:t>Collections</w:t>
            </w:r>
          </w:p>
        </w:tc>
        <w:tc>
          <w:tcPr>
            <w:tcW w:w="1628" w:type="dxa"/>
            <w:vAlign w:val="center"/>
          </w:tcPr>
          <w:p w14:paraId="789129A7" w14:textId="403B46C1" w:rsidR="00040A6B" w:rsidRPr="00E364EE" w:rsidRDefault="00040A6B" w:rsidP="00CF3030">
            <w:pPr>
              <w:rPr>
                <w:b/>
                <w:bCs/>
              </w:rPr>
            </w:pPr>
            <w:r w:rsidRPr="00E364EE">
              <w:rPr>
                <w:b/>
                <w:bCs/>
              </w:rPr>
              <w:t>Delivery – 360/SFX/Alma</w:t>
            </w:r>
          </w:p>
        </w:tc>
        <w:tc>
          <w:tcPr>
            <w:tcW w:w="1432" w:type="dxa"/>
            <w:vAlign w:val="center"/>
          </w:tcPr>
          <w:p w14:paraId="73F7D131" w14:textId="1C324212" w:rsidR="00040A6B" w:rsidRPr="00066FD8" w:rsidRDefault="00040A6B" w:rsidP="00CF3030">
            <w:pPr>
              <w:rPr>
                <w:b/>
                <w:bCs/>
                <w:highlight w:val="yellow"/>
              </w:rPr>
            </w:pPr>
            <w:r w:rsidRPr="00B63F9A">
              <w:rPr>
                <w:b/>
                <w:bCs/>
              </w:rPr>
              <w:t>Discovery – CDI</w:t>
            </w:r>
          </w:p>
        </w:tc>
        <w:tc>
          <w:tcPr>
            <w:tcW w:w="1980" w:type="dxa"/>
            <w:vAlign w:val="center"/>
          </w:tcPr>
          <w:p w14:paraId="052149CD" w14:textId="5AF75EDE" w:rsidR="00040A6B" w:rsidRPr="00E364EE" w:rsidRDefault="00027784" w:rsidP="00CF3030">
            <w:pPr>
              <w:rPr>
                <w:b/>
                <w:bCs/>
              </w:rPr>
            </w:pPr>
            <w:r>
              <w:rPr>
                <w:b/>
                <w:bCs/>
              </w:rPr>
              <w:t>Notes</w:t>
            </w:r>
          </w:p>
        </w:tc>
      </w:tr>
      <w:tr w:rsidR="00E31627" w14:paraId="3C7D39C7" w14:textId="77777777" w:rsidTr="0CA80A19">
        <w:tc>
          <w:tcPr>
            <w:tcW w:w="1975" w:type="dxa"/>
            <w:vAlign w:val="center"/>
          </w:tcPr>
          <w:p w14:paraId="5E047A20" w14:textId="01629EE3" w:rsidR="00E31627" w:rsidRPr="00E364EE" w:rsidRDefault="00E31627" w:rsidP="00E31627">
            <w:pPr>
              <w:rPr>
                <w:b/>
                <w:bCs/>
              </w:rPr>
            </w:pPr>
            <w:r>
              <w:t>** GENERAL**</w:t>
            </w:r>
          </w:p>
        </w:tc>
        <w:tc>
          <w:tcPr>
            <w:tcW w:w="3330" w:type="dxa"/>
            <w:vAlign w:val="center"/>
          </w:tcPr>
          <w:p w14:paraId="6CCE17C1" w14:textId="3F761493" w:rsidR="00E31627" w:rsidRPr="00E364EE" w:rsidRDefault="00E31627" w:rsidP="00E31627">
            <w:pPr>
              <w:rPr>
                <w:b/>
                <w:bCs/>
              </w:rPr>
            </w:pPr>
            <w:r w:rsidRPr="009E6904">
              <w:rPr>
                <w:b/>
                <w:bCs/>
                <w:color w:val="C00000"/>
              </w:rPr>
              <w:t>Annual Collections</w:t>
            </w:r>
          </w:p>
        </w:tc>
        <w:tc>
          <w:tcPr>
            <w:tcW w:w="1628" w:type="dxa"/>
            <w:vAlign w:val="center"/>
          </w:tcPr>
          <w:p w14:paraId="39724A2A" w14:textId="30002864" w:rsidR="00E31627" w:rsidRPr="00E364EE" w:rsidRDefault="00E31627" w:rsidP="00E31627">
            <w:pPr>
              <w:jc w:val="center"/>
              <w:rPr>
                <w:b/>
                <w:bCs/>
              </w:rPr>
            </w:pPr>
            <w:r>
              <w:t>V</w:t>
            </w:r>
          </w:p>
        </w:tc>
        <w:tc>
          <w:tcPr>
            <w:tcW w:w="1432" w:type="dxa"/>
            <w:vAlign w:val="center"/>
          </w:tcPr>
          <w:p w14:paraId="7093FB41" w14:textId="77777777" w:rsidR="00E31627" w:rsidRPr="00B63F9A" w:rsidRDefault="00E31627" w:rsidP="00E31627">
            <w:pPr>
              <w:rPr>
                <w:b/>
                <w:bCs/>
              </w:rPr>
            </w:pPr>
          </w:p>
        </w:tc>
        <w:tc>
          <w:tcPr>
            <w:tcW w:w="1980" w:type="dxa"/>
            <w:vAlign w:val="center"/>
          </w:tcPr>
          <w:p w14:paraId="781AF02F" w14:textId="2ADF3BD0" w:rsidR="00E31627" w:rsidRDefault="00E31627" w:rsidP="00E31627">
            <w:pPr>
              <w:rPr>
                <w:b/>
                <w:bCs/>
              </w:rPr>
            </w:pPr>
            <w:r>
              <w:t xml:space="preserve">For updates on annual collections, see the relevant Knowledge Center articles for </w:t>
            </w:r>
            <w:hyperlink r:id="rId9" w:history="1">
              <w:r w:rsidRPr="00B8475D">
                <w:rPr>
                  <w:rStyle w:val="Hyperlink"/>
                </w:rPr>
                <w:t>360</w:t>
              </w:r>
            </w:hyperlink>
            <w:r w:rsidRPr="00B8475D">
              <w:t xml:space="preserve">, </w:t>
            </w:r>
            <w:hyperlink r:id="rId10" w:history="1">
              <w:r w:rsidRPr="00B8475D">
                <w:rPr>
                  <w:rStyle w:val="Hyperlink"/>
                </w:rPr>
                <w:t>SFX</w:t>
              </w:r>
            </w:hyperlink>
            <w:r w:rsidRPr="00B8475D">
              <w:t xml:space="preserve">, </w:t>
            </w:r>
            <w:hyperlink r:id="rId11" w:history="1">
              <w:r w:rsidRPr="00B8475D">
                <w:rPr>
                  <w:rStyle w:val="Hyperlink"/>
                </w:rPr>
                <w:t>Alma</w:t>
              </w:r>
            </w:hyperlink>
            <w:r>
              <w:t xml:space="preserve">  </w:t>
            </w:r>
          </w:p>
        </w:tc>
      </w:tr>
      <w:tr w:rsidR="00727754" w14:paraId="6F483DAB" w14:textId="77777777" w:rsidTr="0CA80A19">
        <w:tc>
          <w:tcPr>
            <w:tcW w:w="1975" w:type="dxa"/>
            <w:vAlign w:val="center"/>
          </w:tcPr>
          <w:p w14:paraId="4D64B2E3" w14:textId="7F818E74" w:rsidR="00727754" w:rsidRPr="003D7E3F" w:rsidRDefault="00727754" w:rsidP="00727754">
            <w:r>
              <w:rPr>
                <w:rFonts w:ascii="Calibri" w:hAnsi="Calibri" w:cs="Calibri"/>
                <w:color w:val="000000"/>
              </w:rPr>
              <w:t xml:space="preserve">ASTM </w:t>
            </w:r>
          </w:p>
        </w:tc>
        <w:tc>
          <w:tcPr>
            <w:tcW w:w="3330" w:type="dxa"/>
            <w:vAlign w:val="center"/>
          </w:tcPr>
          <w:p w14:paraId="2B2F8C6D" w14:textId="2842E829" w:rsidR="00727754" w:rsidRPr="009E6904" w:rsidRDefault="00727754" w:rsidP="00727754">
            <w:pPr>
              <w:rPr>
                <w:b/>
                <w:bCs/>
              </w:rPr>
            </w:pPr>
            <w:r>
              <w:t>Books content</w:t>
            </w:r>
          </w:p>
        </w:tc>
        <w:tc>
          <w:tcPr>
            <w:tcW w:w="1628" w:type="dxa"/>
            <w:vAlign w:val="center"/>
          </w:tcPr>
          <w:p w14:paraId="5A2B02E5" w14:textId="2DA60E5C" w:rsidR="00727754" w:rsidRPr="003D7E3F" w:rsidRDefault="00727754" w:rsidP="00727754">
            <w:pPr>
              <w:jc w:val="center"/>
            </w:pPr>
          </w:p>
        </w:tc>
        <w:tc>
          <w:tcPr>
            <w:tcW w:w="1432" w:type="dxa"/>
            <w:vAlign w:val="center"/>
          </w:tcPr>
          <w:p w14:paraId="3F1AE81A" w14:textId="29D135A7" w:rsidR="00727754" w:rsidRPr="003D7E3F" w:rsidRDefault="00727754" w:rsidP="00727754">
            <w:pPr>
              <w:jc w:val="center"/>
            </w:pPr>
            <w:r>
              <w:t>V</w:t>
            </w:r>
          </w:p>
        </w:tc>
        <w:tc>
          <w:tcPr>
            <w:tcW w:w="1980" w:type="dxa"/>
            <w:vAlign w:val="center"/>
          </w:tcPr>
          <w:p w14:paraId="06471048" w14:textId="4C858B1E" w:rsidR="00727754" w:rsidRPr="009146B6" w:rsidRDefault="00727754" w:rsidP="009146B6">
            <w:r w:rsidRPr="009146B6">
              <w:t xml:space="preserve">Pending review with provider  </w:t>
            </w:r>
          </w:p>
        </w:tc>
      </w:tr>
      <w:bookmarkEnd w:id="0"/>
      <w:tr w:rsidR="00727754" w14:paraId="3BEE9A43" w14:textId="77777777" w:rsidTr="0CA80A19">
        <w:tc>
          <w:tcPr>
            <w:tcW w:w="1975" w:type="dxa"/>
            <w:vAlign w:val="center"/>
          </w:tcPr>
          <w:p w14:paraId="1F07408A" w14:textId="5D165CE1" w:rsidR="00727754" w:rsidRDefault="00727754" w:rsidP="00727754">
            <w:pPr>
              <w:rPr>
                <w:rFonts w:ascii="Calibri" w:hAnsi="Calibri" w:cs="Calibri"/>
                <w:color w:val="000000"/>
              </w:rPr>
            </w:pPr>
            <w:r>
              <w:rPr>
                <w:rFonts w:ascii="Calibri" w:hAnsi="Calibri" w:cs="Calibri"/>
              </w:rPr>
              <w:t>IBISWorld</w:t>
            </w:r>
          </w:p>
        </w:tc>
        <w:tc>
          <w:tcPr>
            <w:tcW w:w="3330" w:type="dxa"/>
            <w:vAlign w:val="center"/>
          </w:tcPr>
          <w:p w14:paraId="7443A8CC" w14:textId="626E9582" w:rsidR="00727754" w:rsidRDefault="00727754" w:rsidP="00727754"/>
        </w:tc>
        <w:tc>
          <w:tcPr>
            <w:tcW w:w="1628" w:type="dxa"/>
            <w:vAlign w:val="center"/>
          </w:tcPr>
          <w:p w14:paraId="62AFA2ED" w14:textId="0AFC0ADA" w:rsidR="00727754" w:rsidRDefault="00727754" w:rsidP="00727754">
            <w:pPr>
              <w:jc w:val="center"/>
            </w:pPr>
          </w:p>
        </w:tc>
        <w:tc>
          <w:tcPr>
            <w:tcW w:w="1432" w:type="dxa"/>
            <w:vAlign w:val="center"/>
          </w:tcPr>
          <w:p w14:paraId="070A5204" w14:textId="3DF60106" w:rsidR="00727754" w:rsidRDefault="00727754" w:rsidP="00727754">
            <w:pPr>
              <w:jc w:val="center"/>
            </w:pPr>
            <w:r>
              <w:t>V</w:t>
            </w:r>
          </w:p>
        </w:tc>
        <w:tc>
          <w:tcPr>
            <w:tcW w:w="1980" w:type="dxa"/>
            <w:vAlign w:val="center"/>
          </w:tcPr>
          <w:p w14:paraId="31F916DB" w14:textId="5B544CF0" w:rsidR="00727754" w:rsidRPr="009146B6" w:rsidRDefault="00727754" w:rsidP="009146B6">
            <w:r w:rsidRPr="009146B6">
              <w:t>Pending review with provider</w:t>
            </w:r>
          </w:p>
        </w:tc>
      </w:tr>
      <w:tr w:rsidR="00727754" w14:paraId="0F450D91" w14:textId="77777777" w:rsidTr="0CA80A19">
        <w:tc>
          <w:tcPr>
            <w:tcW w:w="1975" w:type="dxa"/>
            <w:vAlign w:val="center"/>
          </w:tcPr>
          <w:p w14:paraId="0CAACD77" w14:textId="5EB5C96B" w:rsidR="00727754" w:rsidRDefault="00727754" w:rsidP="00727754">
            <w:pPr>
              <w:rPr>
                <w:rFonts w:ascii="Calibri" w:hAnsi="Calibri" w:cs="Calibri"/>
                <w:color w:val="000000"/>
              </w:rPr>
            </w:pPr>
            <w:r>
              <w:rPr>
                <w:rFonts w:ascii="Calibri" w:hAnsi="Calibri" w:cs="Calibri"/>
                <w:color w:val="000000"/>
              </w:rPr>
              <w:t>GeoRef</w:t>
            </w:r>
          </w:p>
        </w:tc>
        <w:tc>
          <w:tcPr>
            <w:tcW w:w="3330" w:type="dxa"/>
            <w:vAlign w:val="center"/>
          </w:tcPr>
          <w:p w14:paraId="0F9914D1" w14:textId="21AA173B" w:rsidR="00727754" w:rsidRDefault="00727754" w:rsidP="00727754">
            <w:r>
              <w:t>Collections by provider</w:t>
            </w:r>
          </w:p>
        </w:tc>
        <w:tc>
          <w:tcPr>
            <w:tcW w:w="1628" w:type="dxa"/>
            <w:vAlign w:val="center"/>
          </w:tcPr>
          <w:p w14:paraId="7EC04D72" w14:textId="692AF1BF" w:rsidR="00727754" w:rsidRDefault="00727754" w:rsidP="00727754">
            <w:pPr>
              <w:jc w:val="center"/>
            </w:pPr>
          </w:p>
        </w:tc>
        <w:tc>
          <w:tcPr>
            <w:tcW w:w="1432" w:type="dxa"/>
            <w:vAlign w:val="center"/>
          </w:tcPr>
          <w:p w14:paraId="3267FF1B" w14:textId="4FF1A2B6" w:rsidR="00727754" w:rsidRDefault="00727754" w:rsidP="00727754">
            <w:pPr>
              <w:jc w:val="center"/>
            </w:pPr>
            <w:r>
              <w:t>V</w:t>
            </w:r>
          </w:p>
        </w:tc>
        <w:tc>
          <w:tcPr>
            <w:tcW w:w="1980" w:type="dxa"/>
            <w:vAlign w:val="center"/>
          </w:tcPr>
          <w:p w14:paraId="5AB28FD7" w14:textId="72AF48F8" w:rsidR="00727754" w:rsidRDefault="009A57BB" w:rsidP="00727754">
            <w:r>
              <w:t>Continued from Q3</w:t>
            </w:r>
          </w:p>
        </w:tc>
      </w:tr>
      <w:tr w:rsidR="00727754" w14:paraId="52350BB3" w14:textId="77777777" w:rsidTr="0CA80A19">
        <w:tc>
          <w:tcPr>
            <w:tcW w:w="1975" w:type="dxa"/>
            <w:vAlign w:val="center"/>
          </w:tcPr>
          <w:p w14:paraId="2144D29F" w14:textId="3BF3B1AC" w:rsidR="00727754" w:rsidRDefault="002624F8" w:rsidP="00727754">
            <w:pPr>
              <w:rPr>
                <w:rFonts w:ascii="Calibri" w:hAnsi="Calibri" w:cs="Calibri"/>
                <w:color w:val="000000"/>
              </w:rPr>
            </w:pPr>
            <w:r>
              <w:rPr>
                <w:rFonts w:ascii="Calibri" w:hAnsi="Calibri" w:cs="Calibri"/>
                <w:color w:val="000000"/>
              </w:rPr>
              <w:t>Springer</w:t>
            </w:r>
          </w:p>
        </w:tc>
        <w:tc>
          <w:tcPr>
            <w:tcW w:w="3330" w:type="dxa"/>
            <w:vAlign w:val="center"/>
          </w:tcPr>
          <w:p w14:paraId="6850F294" w14:textId="7397BF56" w:rsidR="00727754" w:rsidRPr="002945DD" w:rsidRDefault="002624F8" w:rsidP="00727754">
            <w:r>
              <w:t>Journal</w:t>
            </w:r>
            <w:r w:rsidR="00CC7A47">
              <w:t xml:space="preserve"> collections</w:t>
            </w:r>
          </w:p>
        </w:tc>
        <w:tc>
          <w:tcPr>
            <w:tcW w:w="1628" w:type="dxa"/>
            <w:vAlign w:val="center"/>
          </w:tcPr>
          <w:p w14:paraId="04770949" w14:textId="0174F3B1" w:rsidR="00727754" w:rsidRDefault="00727754" w:rsidP="00727754">
            <w:pPr>
              <w:jc w:val="center"/>
            </w:pPr>
          </w:p>
        </w:tc>
        <w:tc>
          <w:tcPr>
            <w:tcW w:w="1432" w:type="dxa"/>
            <w:vAlign w:val="center"/>
          </w:tcPr>
          <w:p w14:paraId="65ABF01D" w14:textId="2E6BB1A7" w:rsidR="00727754" w:rsidRDefault="002624F8" w:rsidP="00727754">
            <w:pPr>
              <w:jc w:val="center"/>
            </w:pPr>
            <w:r>
              <w:t>V</w:t>
            </w:r>
          </w:p>
        </w:tc>
        <w:tc>
          <w:tcPr>
            <w:tcW w:w="1980" w:type="dxa"/>
            <w:vAlign w:val="center"/>
          </w:tcPr>
          <w:p w14:paraId="09A49286" w14:textId="77777777" w:rsidR="00727754" w:rsidRDefault="002624F8" w:rsidP="00727754">
            <w:r>
              <w:t xml:space="preserve">New replacement feed; see Release Notes for details when available </w:t>
            </w:r>
          </w:p>
          <w:p w14:paraId="10276407" w14:textId="4A01C826" w:rsidR="009A57BB" w:rsidRDefault="009A57BB" w:rsidP="00727754">
            <w:r>
              <w:t>Continued from Q3</w:t>
            </w:r>
          </w:p>
        </w:tc>
      </w:tr>
      <w:tr w:rsidR="00CC7A47" w14:paraId="37374025" w14:textId="77777777" w:rsidTr="0CA80A19">
        <w:tc>
          <w:tcPr>
            <w:tcW w:w="1975" w:type="dxa"/>
            <w:vAlign w:val="center"/>
          </w:tcPr>
          <w:p w14:paraId="005DF316" w14:textId="3AB89B71" w:rsidR="00CC7A47" w:rsidRDefault="00CC7A47" w:rsidP="00CC7A47">
            <w:pPr>
              <w:rPr>
                <w:rFonts w:ascii="Calibri" w:hAnsi="Calibri" w:cs="Calibri"/>
                <w:color w:val="000000"/>
              </w:rPr>
            </w:pPr>
            <w:r>
              <w:rPr>
                <w:rFonts w:ascii="Calibri" w:hAnsi="Calibri" w:cs="Calibri"/>
              </w:rPr>
              <w:t>Springer</w:t>
            </w:r>
          </w:p>
        </w:tc>
        <w:tc>
          <w:tcPr>
            <w:tcW w:w="3330" w:type="dxa"/>
            <w:vAlign w:val="center"/>
          </w:tcPr>
          <w:p w14:paraId="2F433F0D" w14:textId="573007A1" w:rsidR="00CC7A47" w:rsidRDefault="00CC7A47" w:rsidP="00CC7A47">
            <w:r>
              <w:t xml:space="preserve">Scientific American </w:t>
            </w:r>
          </w:p>
        </w:tc>
        <w:tc>
          <w:tcPr>
            <w:tcW w:w="1628" w:type="dxa"/>
            <w:vAlign w:val="center"/>
          </w:tcPr>
          <w:p w14:paraId="41D6A812" w14:textId="77777777" w:rsidR="00CC7A47" w:rsidRDefault="00CC7A47" w:rsidP="00CC7A47">
            <w:pPr>
              <w:jc w:val="center"/>
            </w:pPr>
          </w:p>
        </w:tc>
        <w:tc>
          <w:tcPr>
            <w:tcW w:w="1432" w:type="dxa"/>
            <w:vAlign w:val="center"/>
          </w:tcPr>
          <w:p w14:paraId="62FA944D" w14:textId="68A19390" w:rsidR="00CC7A47" w:rsidRDefault="00CC7A47" w:rsidP="00CC7A47">
            <w:pPr>
              <w:jc w:val="center"/>
            </w:pPr>
            <w:r>
              <w:t>V</w:t>
            </w:r>
          </w:p>
        </w:tc>
        <w:tc>
          <w:tcPr>
            <w:tcW w:w="1980" w:type="dxa"/>
            <w:vAlign w:val="center"/>
          </w:tcPr>
          <w:p w14:paraId="42183F0A" w14:textId="301BEFF5" w:rsidR="00CC7A47" w:rsidRDefault="00CC7A47" w:rsidP="00CC7A47"/>
        </w:tc>
      </w:tr>
      <w:tr w:rsidR="009A57BB" w14:paraId="4295E555" w14:textId="77777777" w:rsidTr="0CA80A19">
        <w:tc>
          <w:tcPr>
            <w:tcW w:w="1975" w:type="dxa"/>
            <w:vAlign w:val="center"/>
          </w:tcPr>
          <w:p w14:paraId="3E24945F" w14:textId="1BCD97D5" w:rsidR="009A57BB" w:rsidRDefault="009A57BB" w:rsidP="009A57BB">
            <w:pPr>
              <w:rPr>
                <w:rFonts w:ascii="Calibri" w:hAnsi="Calibri" w:cs="Calibri"/>
                <w:color w:val="000000"/>
              </w:rPr>
            </w:pPr>
            <w:r>
              <w:rPr>
                <w:rFonts w:ascii="Calibri" w:hAnsi="Calibri" w:cs="Calibri"/>
                <w:color w:val="000000"/>
              </w:rPr>
              <w:t>Gale</w:t>
            </w:r>
          </w:p>
        </w:tc>
        <w:tc>
          <w:tcPr>
            <w:tcW w:w="3330" w:type="dxa"/>
            <w:vAlign w:val="center"/>
          </w:tcPr>
          <w:p w14:paraId="3DAD254F" w14:textId="77777777" w:rsidR="009A57BB" w:rsidRDefault="009A57BB" w:rsidP="009A57BB">
            <w:pPr>
              <w:pStyle w:val="ListParagraph"/>
              <w:numPr>
                <w:ilvl w:val="0"/>
                <w:numId w:val="5"/>
              </w:numPr>
              <w:ind w:left="256" w:hanging="180"/>
            </w:pPr>
            <w:proofErr w:type="spellStart"/>
            <w:r>
              <w:t>InfoTrac</w:t>
            </w:r>
            <w:proofErr w:type="spellEnd"/>
            <w:r>
              <w:t xml:space="preserve"> </w:t>
            </w:r>
            <w:proofErr w:type="spellStart"/>
            <w:r>
              <w:t>Misc</w:t>
            </w:r>
            <w:proofErr w:type="spellEnd"/>
            <w:r>
              <w:t xml:space="preserve"> </w:t>
            </w:r>
          </w:p>
          <w:p w14:paraId="1C5CE7FD" w14:textId="4FCDC891" w:rsidR="009A57BB" w:rsidRDefault="009A57BB" w:rsidP="009A57BB">
            <w:pPr>
              <w:pStyle w:val="ListParagraph"/>
              <w:numPr>
                <w:ilvl w:val="0"/>
                <w:numId w:val="5"/>
              </w:numPr>
              <w:ind w:left="256" w:hanging="180"/>
            </w:pPr>
            <w:proofErr w:type="spellStart"/>
            <w:r>
              <w:t>InfoTrac</w:t>
            </w:r>
            <w:proofErr w:type="spellEnd"/>
            <w:r>
              <w:t xml:space="preserve"> </w:t>
            </w:r>
            <w:proofErr w:type="spellStart"/>
            <w:r>
              <w:t>Newstand</w:t>
            </w:r>
            <w:proofErr w:type="spellEnd"/>
            <w:r>
              <w:t xml:space="preserve"> </w:t>
            </w:r>
          </w:p>
        </w:tc>
        <w:tc>
          <w:tcPr>
            <w:tcW w:w="1628" w:type="dxa"/>
            <w:vAlign w:val="center"/>
          </w:tcPr>
          <w:p w14:paraId="333CA8D5" w14:textId="699F9A8F" w:rsidR="009A57BB" w:rsidRDefault="009A57BB" w:rsidP="009A57BB">
            <w:pPr>
              <w:jc w:val="center"/>
            </w:pPr>
            <w:r>
              <w:t>V</w:t>
            </w:r>
          </w:p>
        </w:tc>
        <w:tc>
          <w:tcPr>
            <w:tcW w:w="1432" w:type="dxa"/>
            <w:vAlign w:val="center"/>
          </w:tcPr>
          <w:p w14:paraId="3925B7A4" w14:textId="24945578" w:rsidR="009A57BB" w:rsidRDefault="009A57BB" w:rsidP="009A57BB">
            <w:pPr>
              <w:jc w:val="center"/>
            </w:pPr>
            <w:r>
              <w:t>V</w:t>
            </w:r>
          </w:p>
        </w:tc>
        <w:tc>
          <w:tcPr>
            <w:tcW w:w="1980" w:type="dxa"/>
            <w:vAlign w:val="center"/>
          </w:tcPr>
          <w:p w14:paraId="7702D442" w14:textId="4B69A24E" w:rsidR="009A57BB" w:rsidRDefault="009A57BB" w:rsidP="009A57BB">
            <w:r>
              <w:t>Continued from Q3</w:t>
            </w:r>
          </w:p>
        </w:tc>
      </w:tr>
      <w:tr w:rsidR="009A57BB" w14:paraId="32221E66" w14:textId="77777777" w:rsidTr="0CA80A19">
        <w:tc>
          <w:tcPr>
            <w:tcW w:w="1975" w:type="dxa"/>
            <w:vAlign w:val="center"/>
          </w:tcPr>
          <w:p w14:paraId="2ACFDB16" w14:textId="5C767270" w:rsidR="009A57BB" w:rsidRPr="00011F55" w:rsidRDefault="00C90D8F" w:rsidP="009A57BB">
            <w:pPr>
              <w:rPr>
                <w:rFonts w:ascii="Calibri" w:hAnsi="Calibri" w:cs="Calibri"/>
              </w:rPr>
            </w:pPr>
            <w:r>
              <w:rPr>
                <w:rFonts w:ascii="Calibri" w:hAnsi="Calibri" w:cs="Calibri"/>
              </w:rPr>
              <w:t xml:space="preserve">Elsevier </w:t>
            </w:r>
          </w:p>
        </w:tc>
        <w:tc>
          <w:tcPr>
            <w:tcW w:w="3330" w:type="dxa"/>
            <w:vAlign w:val="center"/>
          </w:tcPr>
          <w:p w14:paraId="03149717" w14:textId="05A050B2" w:rsidR="009A57BB" w:rsidRPr="00011F55" w:rsidRDefault="00C90D8F" w:rsidP="009A57BB">
            <w:proofErr w:type="spellStart"/>
            <w:r>
              <w:t>GeoFacets</w:t>
            </w:r>
            <w:proofErr w:type="spellEnd"/>
            <w:r>
              <w:t xml:space="preserve"> </w:t>
            </w:r>
          </w:p>
        </w:tc>
        <w:tc>
          <w:tcPr>
            <w:tcW w:w="1628" w:type="dxa"/>
            <w:vAlign w:val="center"/>
          </w:tcPr>
          <w:p w14:paraId="47F4F465" w14:textId="51038C5A" w:rsidR="009A57BB" w:rsidRDefault="00C90D8F" w:rsidP="009A57BB">
            <w:pPr>
              <w:jc w:val="center"/>
            </w:pPr>
            <w:r>
              <w:t>V</w:t>
            </w:r>
          </w:p>
        </w:tc>
        <w:tc>
          <w:tcPr>
            <w:tcW w:w="1432" w:type="dxa"/>
            <w:vAlign w:val="center"/>
          </w:tcPr>
          <w:p w14:paraId="1B509286" w14:textId="72446280" w:rsidR="009A57BB" w:rsidRDefault="00C90D8F" w:rsidP="009A57BB">
            <w:pPr>
              <w:jc w:val="center"/>
            </w:pPr>
            <w:r>
              <w:t>V</w:t>
            </w:r>
          </w:p>
        </w:tc>
        <w:tc>
          <w:tcPr>
            <w:tcW w:w="1980" w:type="dxa"/>
            <w:vAlign w:val="center"/>
          </w:tcPr>
          <w:p w14:paraId="7D11E243" w14:textId="614A72D5" w:rsidR="00C90D8F" w:rsidRDefault="00C90D8F" w:rsidP="009A57BB"/>
        </w:tc>
      </w:tr>
      <w:tr w:rsidR="009A57BB" w14:paraId="3675FE30" w14:textId="77777777" w:rsidTr="0CA80A19">
        <w:tc>
          <w:tcPr>
            <w:tcW w:w="1975" w:type="dxa"/>
            <w:vAlign w:val="center"/>
          </w:tcPr>
          <w:p w14:paraId="50E5DAA7" w14:textId="37C28C40" w:rsidR="009A57BB" w:rsidRPr="00011F55" w:rsidRDefault="00C90D8F" w:rsidP="009A57BB">
            <w:pPr>
              <w:rPr>
                <w:rFonts w:ascii="Calibri" w:hAnsi="Calibri" w:cs="Calibri"/>
              </w:rPr>
            </w:pPr>
            <w:proofErr w:type="spellStart"/>
            <w:r>
              <w:rPr>
                <w:rFonts w:ascii="Calibri" w:hAnsi="Calibri" w:cs="Calibri"/>
              </w:rPr>
              <w:t>Psik</w:t>
            </w:r>
            <w:proofErr w:type="spellEnd"/>
          </w:p>
        </w:tc>
        <w:tc>
          <w:tcPr>
            <w:tcW w:w="3330" w:type="dxa"/>
            <w:vAlign w:val="center"/>
          </w:tcPr>
          <w:p w14:paraId="1D02094B" w14:textId="77777777" w:rsidR="009A57BB" w:rsidRPr="00011F55" w:rsidRDefault="009A57BB" w:rsidP="009A57BB"/>
        </w:tc>
        <w:tc>
          <w:tcPr>
            <w:tcW w:w="1628" w:type="dxa"/>
            <w:vAlign w:val="center"/>
          </w:tcPr>
          <w:p w14:paraId="722B46CE" w14:textId="154148CB" w:rsidR="009A57BB" w:rsidRDefault="009A57BB" w:rsidP="009A57BB">
            <w:pPr>
              <w:jc w:val="center"/>
            </w:pPr>
          </w:p>
        </w:tc>
        <w:tc>
          <w:tcPr>
            <w:tcW w:w="1432" w:type="dxa"/>
            <w:vAlign w:val="center"/>
          </w:tcPr>
          <w:p w14:paraId="01482E66" w14:textId="7D3B40DE" w:rsidR="009A57BB" w:rsidRDefault="00C90D8F" w:rsidP="009A57BB">
            <w:pPr>
              <w:jc w:val="center"/>
            </w:pPr>
            <w:r>
              <w:t>V</w:t>
            </w:r>
          </w:p>
        </w:tc>
        <w:tc>
          <w:tcPr>
            <w:tcW w:w="1980" w:type="dxa"/>
            <w:vAlign w:val="center"/>
          </w:tcPr>
          <w:p w14:paraId="1C71BBB2" w14:textId="2B33CC8F" w:rsidR="00C90D8F" w:rsidRDefault="00C90D8F" w:rsidP="009A57BB">
            <w:r>
              <w:t xml:space="preserve">MELI regional content </w:t>
            </w:r>
          </w:p>
          <w:p w14:paraId="49289F59" w14:textId="4ADFDB29" w:rsidR="009A57BB" w:rsidRDefault="009A57BB" w:rsidP="009A57BB"/>
        </w:tc>
      </w:tr>
      <w:tr w:rsidR="009A57BB" w14:paraId="051B0F12" w14:textId="77777777" w:rsidTr="0CA80A19">
        <w:tc>
          <w:tcPr>
            <w:tcW w:w="1975" w:type="dxa"/>
            <w:vAlign w:val="center"/>
          </w:tcPr>
          <w:p w14:paraId="56A70E1C" w14:textId="24BD0A49" w:rsidR="009A57BB" w:rsidRPr="00011F55" w:rsidRDefault="00C90D8F" w:rsidP="009A57BB">
            <w:pPr>
              <w:rPr>
                <w:rFonts w:ascii="Calibri" w:hAnsi="Calibri" w:cs="Calibri"/>
              </w:rPr>
            </w:pPr>
            <w:proofErr w:type="spellStart"/>
            <w:r>
              <w:rPr>
                <w:rFonts w:ascii="Calibri" w:hAnsi="Calibri" w:cs="Calibri"/>
              </w:rPr>
              <w:t>Casalini</w:t>
            </w:r>
            <w:proofErr w:type="spellEnd"/>
            <w:r>
              <w:rPr>
                <w:rFonts w:ascii="Calibri" w:hAnsi="Calibri" w:cs="Calibri"/>
              </w:rPr>
              <w:t xml:space="preserve"> </w:t>
            </w:r>
          </w:p>
        </w:tc>
        <w:tc>
          <w:tcPr>
            <w:tcW w:w="3330" w:type="dxa"/>
            <w:vAlign w:val="center"/>
          </w:tcPr>
          <w:p w14:paraId="61D51E56" w14:textId="2F1D58F7" w:rsidR="009A57BB" w:rsidRPr="00011F55" w:rsidRDefault="00C90D8F" w:rsidP="009A57BB">
            <w:r>
              <w:t xml:space="preserve">Book collections </w:t>
            </w:r>
          </w:p>
        </w:tc>
        <w:tc>
          <w:tcPr>
            <w:tcW w:w="1628" w:type="dxa"/>
            <w:vAlign w:val="center"/>
          </w:tcPr>
          <w:p w14:paraId="47F9C519" w14:textId="77777777" w:rsidR="009A57BB" w:rsidRDefault="009A57BB" w:rsidP="009A57BB">
            <w:pPr>
              <w:jc w:val="center"/>
            </w:pPr>
          </w:p>
        </w:tc>
        <w:tc>
          <w:tcPr>
            <w:tcW w:w="1432" w:type="dxa"/>
            <w:vAlign w:val="center"/>
          </w:tcPr>
          <w:p w14:paraId="540B3396" w14:textId="4E3FDD5C" w:rsidR="009A57BB" w:rsidRDefault="00C90D8F" w:rsidP="009A57BB">
            <w:pPr>
              <w:jc w:val="center"/>
            </w:pPr>
            <w:r>
              <w:t>V</w:t>
            </w:r>
          </w:p>
        </w:tc>
        <w:tc>
          <w:tcPr>
            <w:tcW w:w="1980" w:type="dxa"/>
            <w:vAlign w:val="center"/>
          </w:tcPr>
          <w:p w14:paraId="4CC6E3B9" w14:textId="08E7880B" w:rsidR="009A57BB" w:rsidRDefault="009A57BB" w:rsidP="009A57BB"/>
        </w:tc>
      </w:tr>
      <w:tr w:rsidR="003B29DB" w14:paraId="460D3D8A" w14:textId="77777777" w:rsidTr="0CA80A19">
        <w:tc>
          <w:tcPr>
            <w:tcW w:w="1975" w:type="dxa"/>
            <w:vAlign w:val="center"/>
          </w:tcPr>
          <w:p w14:paraId="267EB888" w14:textId="6AF8CCDC" w:rsidR="003B29DB" w:rsidRPr="00011F55" w:rsidRDefault="003B29DB" w:rsidP="003B29DB">
            <w:pPr>
              <w:rPr>
                <w:rFonts w:ascii="Calibri" w:hAnsi="Calibri" w:cs="Calibri"/>
              </w:rPr>
            </w:pPr>
            <w:r>
              <w:rPr>
                <w:rFonts w:ascii="Calibri" w:hAnsi="Calibri" w:cs="Calibri"/>
              </w:rPr>
              <w:t xml:space="preserve">SAGE </w:t>
            </w:r>
          </w:p>
        </w:tc>
        <w:tc>
          <w:tcPr>
            <w:tcW w:w="3330" w:type="dxa"/>
            <w:vAlign w:val="center"/>
          </w:tcPr>
          <w:p w14:paraId="667A0322" w14:textId="7EC18B67" w:rsidR="003B29DB" w:rsidRPr="00011F55" w:rsidRDefault="003B29DB" w:rsidP="003B29DB">
            <w:r>
              <w:t xml:space="preserve">SAGE Campus </w:t>
            </w:r>
          </w:p>
        </w:tc>
        <w:tc>
          <w:tcPr>
            <w:tcW w:w="1628" w:type="dxa"/>
            <w:vAlign w:val="center"/>
          </w:tcPr>
          <w:p w14:paraId="71D7255C" w14:textId="77777777" w:rsidR="003B29DB" w:rsidRDefault="003B29DB" w:rsidP="003B29DB">
            <w:pPr>
              <w:jc w:val="center"/>
            </w:pPr>
          </w:p>
        </w:tc>
        <w:tc>
          <w:tcPr>
            <w:tcW w:w="1432" w:type="dxa"/>
            <w:vAlign w:val="center"/>
          </w:tcPr>
          <w:p w14:paraId="65C13DD8" w14:textId="7B657835" w:rsidR="003B29DB" w:rsidRDefault="003B29DB" w:rsidP="003B29DB">
            <w:pPr>
              <w:jc w:val="center"/>
            </w:pPr>
            <w:r>
              <w:t>V</w:t>
            </w:r>
          </w:p>
        </w:tc>
        <w:tc>
          <w:tcPr>
            <w:tcW w:w="1980" w:type="dxa"/>
            <w:vAlign w:val="center"/>
          </w:tcPr>
          <w:p w14:paraId="416E7863" w14:textId="355AC0CC" w:rsidR="003B29DB" w:rsidRDefault="003B29DB" w:rsidP="003B29DB"/>
        </w:tc>
      </w:tr>
      <w:tr w:rsidR="00FA224E" w14:paraId="13F3C463" w14:textId="77777777" w:rsidTr="0CA80A19">
        <w:tc>
          <w:tcPr>
            <w:tcW w:w="1975" w:type="dxa"/>
            <w:vAlign w:val="center"/>
          </w:tcPr>
          <w:p w14:paraId="7E890483" w14:textId="49511E1B" w:rsidR="00FA224E" w:rsidRDefault="00FA224E" w:rsidP="00FA224E">
            <w:pPr>
              <w:rPr>
                <w:rFonts w:ascii="Calibri" w:hAnsi="Calibri" w:cs="Calibri"/>
              </w:rPr>
            </w:pPr>
            <w:r w:rsidRPr="00DF38A0">
              <w:rPr>
                <w:rFonts w:ascii="Calibri" w:hAnsi="Calibri" w:cs="Calibri"/>
              </w:rPr>
              <w:lastRenderedPageBreak/>
              <w:t>International Information and Engineering Technology Association (IIETA)</w:t>
            </w:r>
          </w:p>
        </w:tc>
        <w:tc>
          <w:tcPr>
            <w:tcW w:w="3330" w:type="dxa"/>
            <w:vAlign w:val="center"/>
          </w:tcPr>
          <w:p w14:paraId="697F030F" w14:textId="506FA0A9" w:rsidR="00FA224E" w:rsidRPr="00AD0BFA" w:rsidRDefault="00FA224E" w:rsidP="00FA224E">
            <w:r>
              <w:t xml:space="preserve">Journal content </w:t>
            </w:r>
          </w:p>
        </w:tc>
        <w:tc>
          <w:tcPr>
            <w:tcW w:w="1628" w:type="dxa"/>
            <w:vAlign w:val="center"/>
          </w:tcPr>
          <w:p w14:paraId="48A53ED3" w14:textId="657352A0" w:rsidR="00FA224E" w:rsidRDefault="00FA224E" w:rsidP="00FA224E">
            <w:pPr>
              <w:jc w:val="center"/>
            </w:pPr>
            <w:r>
              <w:t>V</w:t>
            </w:r>
          </w:p>
        </w:tc>
        <w:tc>
          <w:tcPr>
            <w:tcW w:w="1432" w:type="dxa"/>
            <w:vAlign w:val="center"/>
          </w:tcPr>
          <w:p w14:paraId="0667FF78" w14:textId="77777777" w:rsidR="00FA224E" w:rsidRDefault="00FA224E" w:rsidP="00FA224E">
            <w:pPr>
              <w:jc w:val="center"/>
            </w:pPr>
          </w:p>
        </w:tc>
        <w:tc>
          <w:tcPr>
            <w:tcW w:w="1980" w:type="dxa"/>
            <w:vAlign w:val="center"/>
          </w:tcPr>
          <w:p w14:paraId="5EC057C3" w14:textId="628C5F69" w:rsidR="00FA224E" w:rsidRDefault="00FA224E" w:rsidP="004572BE">
            <w:r>
              <w:t>Continued from Q3</w:t>
            </w:r>
          </w:p>
        </w:tc>
      </w:tr>
      <w:tr w:rsidR="00FA224E" w14:paraId="3DF6F6A2" w14:textId="77777777" w:rsidTr="0CA80A19">
        <w:tc>
          <w:tcPr>
            <w:tcW w:w="1975" w:type="dxa"/>
            <w:vAlign w:val="center"/>
          </w:tcPr>
          <w:p w14:paraId="2CB1CD0A" w14:textId="6BDF71B9" w:rsidR="00FA224E" w:rsidRDefault="00FA224E" w:rsidP="00FA224E">
            <w:pPr>
              <w:rPr>
                <w:rFonts w:ascii="Calibri" w:hAnsi="Calibri" w:cs="Calibri"/>
              </w:rPr>
            </w:pPr>
            <w:r w:rsidRPr="00DF38A0">
              <w:rPr>
                <w:rFonts w:ascii="Calibri" w:hAnsi="Calibri" w:cs="Calibri"/>
              </w:rPr>
              <w:t>Institute of Engineering and Technology</w:t>
            </w:r>
            <w:r>
              <w:rPr>
                <w:rFonts w:ascii="Calibri" w:hAnsi="Calibri" w:cs="Calibri"/>
              </w:rPr>
              <w:t xml:space="preserve"> (IET)</w:t>
            </w:r>
          </w:p>
        </w:tc>
        <w:tc>
          <w:tcPr>
            <w:tcW w:w="3330" w:type="dxa"/>
            <w:vAlign w:val="center"/>
          </w:tcPr>
          <w:p w14:paraId="3C13CA61" w14:textId="45D735B6" w:rsidR="00FA224E" w:rsidRPr="00AD0BFA" w:rsidRDefault="00FA224E" w:rsidP="00FA224E">
            <w:r w:rsidRPr="00DF38A0">
              <w:t xml:space="preserve">IET 2021 </w:t>
            </w:r>
            <w:proofErr w:type="spellStart"/>
            <w:r w:rsidRPr="00DF38A0">
              <w:t>Frontlist</w:t>
            </w:r>
            <w:proofErr w:type="spellEnd"/>
          </w:p>
        </w:tc>
        <w:tc>
          <w:tcPr>
            <w:tcW w:w="1628" w:type="dxa"/>
            <w:vAlign w:val="center"/>
          </w:tcPr>
          <w:p w14:paraId="5E47CB98" w14:textId="6C347423" w:rsidR="00FA224E" w:rsidRDefault="00FA224E" w:rsidP="00FA224E">
            <w:pPr>
              <w:jc w:val="center"/>
            </w:pPr>
            <w:r>
              <w:t>V</w:t>
            </w:r>
          </w:p>
        </w:tc>
        <w:tc>
          <w:tcPr>
            <w:tcW w:w="1432" w:type="dxa"/>
            <w:vAlign w:val="center"/>
          </w:tcPr>
          <w:p w14:paraId="035A76B1" w14:textId="77777777" w:rsidR="00FA224E" w:rsidRDefault="00FA224E" w:rsidP="00FA224E">
            <w:pPr>
              <w:jc w:val="center"/>
            </w:pPr>
          </w:p>
        </w:tc>
        <w:tc>
          <w:tcPr>
            <w:tcW w:w="1980" w:type="dxa"/>
            <w:vAlign w:val="center"/>
          </w:tcPr>
          <w:p w14:paraId="40880A11" w14:textId="706F9885" w:rsidR="00FA224E" w:rsidRDefault="00FA224E" w:rsidP="004572BE">
            <w:r>
              <w:t>Continued from Q3</w:t>
            </w:r>
          </w:p>
        </w:tc>
      </w:tr>
      <w:tr w:rsidR="00FA224E" w14:paraId="2313CEAF" w14:textId="77777777" w:rsidTr="0CA80A19">
        <w:tc>
          <w:tcPr>
            <w:tcW w:w="1975" w:type="dxa"/>
            <w:vAlign w:val="center"/>
          </w:tcPr>
          <w:p w14:paraId="6F1D285A" w14:textId="095D554D" w:rsidR="00FA224E" w:rsidRDefault="00FA224E" w:rsidP="00FA224E">
            <w:pPr>
              <w:rPr>
                <w:rFonts w:ascii="Calibri" w:hAnsi="Calibri" w:cs="Calibri"/>
              </w:rPr>
            </w:pPr>
            <w:r w:rsidRPr="00DF38A0">
              <w:rPr>
                <w:rFonts w:ascii="Calibri" w:hAnsi="Calibri" w:cs="Calibri"/>
              </w:rPr>
              <w:t>Adam Matthew</w:t>
            </w:r>
          </w:p>
        </w:tc>
        <w:tc>
          <w:tcPr>
            <w:tcW w:w="3330" w:type="dxa"/>
            <w:vAlign w:val="center"/>
          </w:tcPr>
          <w:p w14:paraId="4393AC50" w14:textId="238869A8" w:rsidR="00FA224E" w:rsidRDefault="00FA224E" w:rsidP="00FA224E">
            <w:pPr>
              <w:pStyle w:val="ListParagraph"/>
              <w:numPr>
                <w:ilvl w:val="0"/>
                <w:numId w:val="5"/>
              </w:numPr>
              <w:ind w:left="256" w:hanging="180"/>
            </w:pPr>
            <w:r w:rsidRPr="00DF38A0">
              <w:t>East India Company: Module IV India Office Records, E: Correspondence: Early Voyages, Formation and Conflict</w:t>
            </w:r>
          </w:p>
          <w:p w14:paraId="35E284B5" w14:textId="77777777" w:rsidR="00FA224E" w:rsidRDefault="00FA224E" w:rsidP="00FA224E">
            <w:pPr>
              <w:pStyle w:val="ListParagraph"/>
              <w:numPr>
                <w:ilvl w:val="0"/>
                <w:numId w:val="5"/>
              </w:numPr>
              <w:ind w:left="256" w:hanging="180"/>
            </w:pPr>
            <w:r w:rsidRPr="00DF38A0">
              <w:t>Children's Literature and Culture</w:t>
            </w:r>
          </w:p>
          <w:p w14:paraId="4CA1FF6D" w14:textId="3C0B829A" w:rsidR="00393534" w:rsidRPr="00BE53C2" w:rsidRDefault="00393534" w:rsidP="00FA224E">
            <w:pPr>
              <w:pStyle w:val="ListParagraph"/>
              <w:numPr>
                <w:ilvl w:val="0"/>
                <w:numId w:val="5"/>
              </w:numPr>
              <w:ind w:left="256" w:hanging="180"/>
            </w:pPr>
            <w:r>
              <w:t xml:space="preserve">Multiple collections </w:t>
            </w:r>
          </w:p>
        </w:tc>
        <w:tc>
          <w:tcPr>
            <w:tcW w:w="1628" w:type="dxa"/>
            <w:vAlign w:val="center"/>
          </w:tcPr>
          <w:p w14:paraId="7DD0E6D0" w14:textId="45183306" w:rsidR="00FA224E" w:rsidRDefault="00FA224E" w:rsidP="00FA224E">
            <w:pPr>
              <w:jc w:val="center"/>
            </w:pPr>
            <w:r>
              <w:t>V</w:t>
            </w:r>
          </w:p>
        </w:tc>
        <w:tc>
          <w:tcPr>
            <w:tcW w:w="1432" w:type="dxa"/>
            <w:vAlign w:val="center"/>
          </w:tcPr>
          <w:p w14:paraId="5233C12F" w14:textId="77777777" w:rsidR="00FA224E" w:rsidRDefault="00FA224E" w:rsidP="00FA224E">
            <w:pPr>
              <w:jc w:val="center"/>
            </w:pPr>
          </w:p>
        </w:tc>
        <w:tc>
          <w:tcPr>
            <w:tcW w:w="1980" w:type="dxa"/>
            <w:vAlign w:val="center"/>
          </w:tcPr>
          <w:p w14:paraId="2686F939" w14:textId="5EBF23ED" w:rsidR="00393534" w:rsidRDefault="00393534" w:rsidP="004572BE">
            <w:r>
              <w:t>Including c</w:t>
            </w:r>
            <w:r w:rsidR="00F55387">
              <w:t xml:space="preserve">ontinued </w:t>
            </w:r>
            <w:r>
              <w:t xml:space="preserve">work </w:t>
            </w:r>
            <w:r w:rsidR="00F55387">
              <w:t>from Q3</w:t>
            </w:r>
          </w:p>
        </w:tc>
      </w:tr>
      <w:tr w:rsidR="00FA224E" w14:paraId="050FEBCA" w14:textId="77777777" w:rsidTr="0CA80A19">
        <w:tc>
          <w:tcPr>
            <w:tcW w:w="1975" w:type="dxa"/>
            <w:vAlign w:val="center"/>
          </w:tcPr>
          <w:p w14:paraId="3408BB04" w14:textId="789893B9" w:rsidR="00FA224E" w:rsidRDefault="00FA224E" w:rsidP="00FA224E">
            <w:pPr>
              <w:rPr>
                <w:rFonts w:ascii="Calibri" w:hAnsi="Calibri" w:cs="Calibri"/>
              </w:rPr>
            </w:pPr>
            <w:r>
              <w:rPr>
                <w:rFonts w:ascii="Calibri" w:hAnsi="Calibri" w:cs="Calibri"/>
              </w:rPr>
              <w:t xml:space="preserve">InfoBase </w:t>
            </w:r>
          </w:p>
        </w:tc>
        <w:tc>
          <w:tcPr>
            <w:tcW w:w="3330" w:type="dxa"/>
            <w:vAlign w:val="center"/>
          </w:tcPr>
          <w:p w14:paraId="4DFB6417" w14:textId="700B7293" w:rsidR="00FA224E" w:rsidRDefault="00FA224E" w:rsidP="00FA224E">
            <w:r w:rsidRPr="00FE0468">
              <w:t>Films on Demand &amp; Access Video on Demand - Just for Kids</w:t>
            </w:r>
            <w:r>
              <w:t xml:space="preserve"> (4)</w:t>
            </w:r>
          </w:p>
        </w:tc>
        <w:tc>
          <w:tcPr>
            <w:tcW w:w="1628" w:type="dxa"/>
            <w:vAlign w:val="center"/>
          </w:tcPr>
          <w:p w14:paraId="403BA5D0" w14:textId="6B8AD122" w:rsidR="00FA224E" w:rsidRDefault="00FA224E" w:rsidP="00FA224E">
            <w:pPr>
              <w:jc w:val="center"/>
            </w:pPr>
            <w:r>
              <w:t>V</w:t>
            </w:r>
          </w:p>
        </w:tc>
        <w:tc>
          <w:tcPr>
            <w:tcW w:w="1432" w:type="dxa"/>
            <w:vAlign w:val="center"/>
          </w:tcPr>
          <w:p w14:paraId="4B550623" w14:textId="77777777" w:rsidR="00FA224E" w:rsidRDefault="00FA224E" w:rsidP="00FA224E">
            <w:pPr>
              <w:jc w:val="center"/>
            </w:pPr>
          </w:p>
        </w:tc>
        <w:tc>
          <w:tcPr>
            <w:tcW w:w="1980" w:type="dxa"/>
            <w:vAlign w:val="center"/>
          </w:tcPr>
          <w:p w14:paraId="17D943EF" w14:textId="087194F0" w:rsidR="00FA224E" w:rsidRDefault="00F55387" w:rsidP="004572BE">
            <w:r>
              <w:t>Continued from Q3</w:t>
            </w:r>
          </w:p>
        </w:tc>
      </w:tr>
      <w:tr w:rsidR="00FA224E" w14:paraId="4AAA35AF" w14:textId="77777777" w:rsidTr="0CA80A19">
        <w:tc>
          <w:tcPr>
            <w:tcW w:w="1975" w:type="dxa"/>
            <w:vAlign w:val="center"/>
          </w:tcPr>
          <w:p w14:paraId="29A9359A" w14:textId="67E9C3D2" w:rsidR="00FA224E" w:rsidRDefault="00FA224E" w:rsidP="00FA224E">
            <w:pPr>
              <w:rPr>
                <w:rFonts w:ascii="Calibri" w:hAnsi="Calibri" w:cs="Calibri"/>
              </w:rPr>
            </w:pPr>
            <w:r>
              <w:rPr>
                <w:rFonts w:ascii="Calibri" w:hAnsi="Calibri" w:cs="Calibri"/>
              </w:rPr>
              <w:t>Wiley</w:t>
            </w:r>
          </w:p>
        </w:tc>
        <w:tc>
          <w:tcPr>
            <w:tcW w:w="3330" w:type="dxa"/>
            <w:vAlign w:val="center"/>
          </w:tcPr>
          <w:p w14:paraId="5B7A1289" w14:textId="2CB19927" w:rsidR="00FA224E" w:rsidRPr="00475E7D" w:rsidRDefault="00FA224E" w:rsidP="00FA224E">
            <w:r w:rsidRPr="00FE0468">
              <w:t>Wiley Online Library Not in Any Collection</w:t>
            </w:r>
          </w:p>
        </w:tc>
        <w:tc>
          <w:tcPr>
            <w:tcW w:w="1628" w:type="dxa"/>
            <w:vAlign w:val="center"/>
          </w:tcPr>
          <w:p w14:paraId="7525F772" w14:textId="0E0A3891" w:rsidR="00FA224E" w:rsidRDefault="00FA224E" w:rsidP="00FA224E">
            <w:pPr>
              <w:jc w:val="center"/>
            </w:pPr>
            <w:r>
              <w:t>V</w:t>
            </w:r>
          </w:p>
        </w:tc>
        <w:tc>
          <w:tcPr>
            <w:tcW w:w="1432" w:type="dxa"/>
            <w:vAlign w:val="center"/>
          </w:tcPr>
          <w:p w14:paraId="4C92BCE9" w14:textId="77777777" w:rsidR="00FA224E" w:rsidRDefault="00FA224E" w:rsidP="00FA224E">
            <w:pPr>
              <w:jc w:val="center"/>
            </w:pPr>
          </w:p>
        </w:tc>
        <w:tc>
          <w:tcPr>
            <w:tcW w:w="1980" w:type="dxa"/>
            <w:vAlign w:val="center"/>
          </w:tcPr>
          <w:p w14:paraId="34661116" w14:textId="257DB5B7" w:rsidR="00FA224E" w:rsidRDefault="00F55387" w:rsidP="004572BE">
            <w:r>
              <w:t>Continued from Q3</w:t>
            </w:r>
          </w:p>
        </w:tc>
      </w:tr>
      <w:tr w:rsidR="0044764F" w14:paraId="4A87E2D6" w14:textId="77777777" w:rsidTr="0CA80A19">
        <w:tc>
          <w:tcPr>
            <w:tcW w:w="1975" w:type="dxa"/>
            <w:vAlign w:val="center"/>
          </w:tcPr>
          <w:p w14:paraId="45CC2B18" w14:textId="07404282" w:rsidR="0044764F" w:rsidRDefault="0044764F" w:rsidP="00FA224E">
            <w:pPr>
              <w:rPr>
                <w:rFonts w:ascii="Calibri" w:hAnsi="Calibri" w:cs="Calibri"/>
              </w:rPr>
            </w:pPr>
            <w:r>
              <w:rPr>
                <w:rFonts w:ascii="Calibri" w:hAnsi="Calibri" w:cs="Calibri"/>
              </w:rPr>
              <w:t>Wiley</w:t>
            </w:r>
          </w:p>
        </w:tc>
        <w:tc>
          <w:tcPr>
            <w:tcW w:w="3330" w:type="dxa"/>
            <w:vAlign w:val="center"/>
          </w:tcPr>
          <w:p w14:paraId="449E1947" w14:textId="0E614E8E" w:rsidR="0044764F" w:rsidRPr="00FE0468" w:rsidRDefault="0044764F" w:rsidP="00FA224E">
            <w:r w:rsidRPr="0044764F">
              <w:t>Wiley Article Select Tokens</w:t>
            </w:r>
          </w:p>
        </w:tc>
        <w:tc>
          <w:tcPr>
            <w:tcW w:w="1628" w:type="dxa"/>
            <w:vAlign w:val="center"/>
          </w:tcPr>
          <w:p w14:paraId="003C7F4E" w14:textId="460F61EC" w:rsidR="0044764F" w:rsidRDefault="0044764F" w:rsidP="00FA224E">
            <w:pPr>
              <w:jc w:val="center"/>
            </w:pPr>
            <w:r>
              <w:t>V</w:t>
            </w:r>
          </w:p>
        </w:tc>
        <w:tc>
          <w:tcPr>
            <w:tcW w:w="1432" w:type="dxa"/>
            <w:vAlign w:val="center"/>
          </w:tcPr>
          <w:p w14:paraId="2BEC83E4" w14:textId="77777777" w:rsidR="0044764F" w:rsidRDefault="0044764F" w:rsidP="00FA224E">
            <w:pPr>
              <w:jc w:val="center"/>
            </w:pPr>
          </w:p>
        </w:tc>
        <w:tc>
          <w:tcPr>
            <w:tcW w:w="1980" w:type="dxa"/>
            <w:vAlign w:val="center"/>
          </w:tcPr>
          <w:p w14:paraId="2B8C9048" w14:textId="62B0F4CF" w:rsidR="0044764F" w:rsidRDefault="0044764F" w:rsidP="00F55387"/>
        </w:tc>
      </w:tr>
      <w:tr w:rsidR="00FA224E" w14:paraId="3D0071EE" w14:textId="77777777" w:rsidTr="0CA80A19">
        <w:tc>
          <w:tcPr>
            <w:tcW w:w="1975" w:type="dxa"/>
            <w:vAlign w:val="center"/>
          </w:tcPr>
          <w:p w14:paraId="18E8A56E" w14:textId="420A77C8" w:rsidR="00FA224E" w:rsidRDefault="00FA224E" w:rsidP="00FA224E">
            <w:pPr>
              <w:rPr>
                <w:rFonts w:ascii="Calibri" w:hAnsi="Calibri" w:cs="Calibri"/>
              </w:rPr>
            </w:pPr>
            <w:r>
              <w:rPr>
                <w:rFonts w:ascii="Calibri" w:hAnsi="Calibri" w:cs="Calibri"/>
              </w:rPr>
              <w:t>East View</w:t>
            </w:r>
          </w:p>
        </w:tc>
        <w:tc>
          <w:tcPr>
            <w:tcW w:w="3330" w:type="dxa"/>
            <w:vAlign w:val="center"/>
          </w:tcPr>
          <w:p w14:paraId="301F3C03" w14:textId="48D178E2" w:rsidR="00FA224E" w:rsidRPr="00880524" w:rsidRDefault="00FA224E" w:rsidP="00FA224E">
            <w:r>
              <w:t>Multiple collections (5)</w:t>
            </w:r>
          </w:p>
        </w:tc>
        <w:tc>
          <w:tcPr>
            <w:tcW w:w="1628" w:type="dxa"/>
            <w:vAlign w:val="center"/>
          </w:tcPr>
          <w:p w14:paraId="394E0AC5" w14:textId="27175F4D" w:rsidR="00FA224E" w:rsidRDefault="00FA224E" w:rsidP="00FA224E">
            <w:pPr>
              <w:jc w:val="center"/>
            </w:pPr>
            <w:r>
              <w:t>V</w:t>
            </w:r>
          </w:p>
        </w:tc>
        <w:tc>
          <w:tcPr>
            <w:tcW w:w="1432" w:type="dxa"/>
            <w:vAlign w:val="center"/>
          </w:tcPr>
          <w:p w14:paraId="01FFEC94" w14:textId="77777777" w:rsidR="00FA224E" w:rsidRDefault="00FA224E" w:rsidP="00FA224E">
            <w:pPr>
              <w:jc w:val="center"/>
            </w:pPr>
          </w:p>
        </w:tc>
        <w:tc>
          <w:tcPr>
            <w:tcW w:w="1980" w:type="dxa"/>
            <w:vAlign w:val="center"/>
          </w:tcPr>
          <w:p w14:paraId="5223A868" w14:textId="4ADD7A80" w:rsidR="00FA224E" w:rsidRDefault="00F55387" w:rsidP="004572BE">
            <w:r>
              <w:t>Continued from Q3</w:t>
            </w:r>
          </w:p>
        </w:tc>
      </w:tr>
      <w:tr w:rsidR="00501E47" w14:paraId="46A9C15C" w14:textId="77777777" w:rsidTr="0CA80A19">
        <w:tc>
          <w:tcPr>
            <w:tcW w:w="1975" w:type="dxa"/>
            <w:vAlign w:val="center"/>
          </w:tcPr>
          <w:p w14:paraId="30E1E98B" w14:textId="3DE0BFDF" w:rsidR="00501E47" w:rsidRDefault="004909AF" w:rsidP="00FA224E">
            <w:pPr>
              <w:rPr>
                <w:rFonts w:ascii="Calibri" w:hAnsi="Calibri" w:cs="Calibri"/>
              </w:rPr>
            </w:pPr>
            <w:r>
              <w:rPr>
                <w:rFonts w:ascii="Calibri" w:hAnsi="Calibri" w:cs="Calibri"/>
              </w:rPr>
              <w:t>Walter de Gruyter</w:t>
            </w:r>
          </w:p>
        </w:tc>
        <w:tc>
          <w:tcPr>
            <w:tcW w:w="3330" w:type="dxa"/>
            <w:vAlign w:val="center"/>
          </w:tcPr>
          <w:p w14:paraId="5A54FF27" w14:textId="77777777" w:rsidR="00501E47" w:rsidRDefault="004909AF" w:rsidP="00483AFD">
            <w:pPr>
              <w:pStyle w:val="ListParagraph"/>
              <w:numPr>
                <w:ilvl w:val="0"/>
                <w:numId w:val="5"/>
              </w:numPr>
              <w:ind w:left="256" w:hanging="180"/>
            </w:pPr>
            <w:r>
              <w:t>Multiple collections (~240)</w:t>
            </w:r>
          </w:p>
          <w:p w14:paraId="4A174E95" w14:textId="77777777" w:rsidR="00483AFD" w:rsidRDefault="00483AFD" w:rsidP="00483AFD">
            <w:pPr>
              <w:pStyle w:val="ListParagraph"/>
              <w:numPr>
                <w:ilvl w:val="0"/>
                <w:numId w:val="5"/>
              </w:numPr>
              <w:ind w:left="256" w:hanging="180"/>
            </w:pPr>
            <w:proofErr w:type="spellStart"/>
            <w:r>
              <w:t>Ebook</w:t>
            </w:r>
            <w:proofErr w:type="spellEnd"/>
            <w:r>
              <w:t xml:space="preserve"> HSK</w:t>
            </w:r>
          </w:p>
          <w:p w14:paraId="4862C45B" w14:textId="77777777" w:rsidR="00483AFD" w:rsidRDefault="00483AFD" w:rsidP="00483AFD">
            <w:pPr>
              <w:pStyle w:val="ListParagraph"/>
              <w:numPr>
                <w:ilvl w:val="0"/>
                <w:numId w:val="5"/>
              </w:numPr>
              <w:ind w:left="256" w:hanging="180"/>
            </w:pPr>
            <w:r>
              <w:t>DG OWV</w:t>
            </w:r>
          </w:p>
          <w:p w14:paraId="65C948EB" w14:textId="1EC428BF" w:rsidR="007B4516" w:rsidRDefault="007B4516" w:rsidP="00483AFD">
            <w:pPr>
              <w:pStyle w:val="ListParagraph"/>
              <w:numPr>
                <w:ilvl w:val="0"/>
                <w:numId w:val="5"/>
              </w:numPr>
              <w:ind w:left="256" w:hanging="180"/>
            </w:pPr>
            <w:r w:rsidRPr="007B4516">
              <w:t xml:space="preserve">eBooks Economics </w:t>
            </w:r>
          </w:p>
        </w:tc>
        <w:tc>
          <w:tcPr>
            <w:tcW w:w="1628" w:type="dxa"/>
            <w:vAlign w:val="center"/>
          </w:tcPr>
          <w:p w14:paraId="75FF4DE3" w14:textId="28335CEE" w:rsidR="00501E47" w:rsidRDefault="004909AF" w:rsidP="00FA224E">
            <w:pPr>
              <w:jc w:val="center"/>
            </w:pPr>
            <w:r>
              <w:t>V</w:t>
            </w:r>
          </w:p>
        </w:tc>
        <w:tc>
          <w:tcPr>
            <w:tcW w:w="1432" w:type="dxa"/>
            <w:vAlign w:val="center"/>
          </w:tcPr>
          <w:p w14:paraId="5E5BFA98" w14:textId="77777777" w:rsidR="00501E47" w:rsidRDefault="00501E47" w:rsidP="00FA224E">
            <w:pPr>
              <w:jc w:val="center"/>
            </w:pPr>
          </w:p>
        </w:tc>
        <w:tc>
          <w:tcPr>
            <w:tcW w:w="1980" w:type="dxa"/>
            <w:vAlign w:val="center"/>
          </w:tcPr>
          <w:p w14:paraId="09A98040" w14:textId="2C708F4A" w:rsidR="007B4516" w:rsidRDefault="00483AFD" w:rsidP="004572BE">
            <w:r>
              <w:t xml:space="preserve">Includes </w:t>
            </w:r>
            <w:proofErr w:type="spellStart"/>
            <w:r>
              <w:t>hbz</w:t>
            </w:r>
            <w:proofErr w:type="spellEnd"/>
            <w:r>
              <w:t xml:space="preserve"> regional content </w:t>
            </w:r>
          </w:p>
        </w:tc>
      </w:tr>
      <w:tr w:rsidR="00501E47" w14:paraId="649C4A8E" w14:textId="77777777" w:rsidTr="0CA80A19">
        <w:tc>
          <w:tcPr>
            <w:tcW w:w="1975" w:type="dxa"/>
            <w:vAlign w:val="center"/>
          </w:tcPr>
          <w:p w14:paraId="2C14F9C5" w14:textId="6F7581B8" w:rsidR="00501E47" w:rsidRDefault="004909AF" w:rsidP="00FA224E">
            <w:pPr>
              <w:rPr>
                <w:rFonts w:ascii="Calibri" w:hAnsi="Calibri" w:cs="Calibri"/>
              </w:rPr>
            </w:pPr>
            <w:r>
              <w:rPr>
                <w:rFonts w:ascii="Calibri" w:hAnsi="Calibri" w:cs="Calibri"/>
              </w:rPr>
              <w:t>Preselect</w:t>
            </w:r>
          </w:p>
        </w:tc>
        <w:tc>
          <w:tcPr>
            <w:tcW w:w="3330" w:type="dxa"/>
            <w:vAlign w:val="center"/>
          </w:tcPr>
          <w:p w14:paraId="178BF004" w14:textId="77777777" w:rsidR="00501E47" w:rsidRDefault="004909AF" w:rsidP="004909AF">
            <w:pPr>
              <w:pStyle w:val="ListParagraph"/>
              <w:numPr>
                <w:ilvl w:val="0"/>
                <w:numId w:val="5"/>
              </w:numPr>
              <w:ind w:left="256" w:hanging="180"/>
            </w:pPr>
            <w:proofErr w:type="spellStart"/>
            <w:r w:rsidRPr="004909AF">
              <w:t>Beltz</w:t>
            </w:r>
            <w:proofErr w:type="spellEnd"/>
            <w:r>
              <w:t xml:space="preserve"> collections (5)</w:t>
            </w:r>
          </w:p>
          <w:p w14:paraId="3BBED501" w14:textId="0C1B6893" w:rsidR="004909AF" w:rsidRDefault="004909AF" w:rsidP="004909AF">
            <w:pPr>
              <w:pStyle w:val="ListParagraph"/>
              <w:numPr>
                <w:ilvl w:val="0"/>
                <w:numId w:val="5"/>
              </w:numPr>
              <w:ind w:left="256" w:hanging="180"/>
            </w:pPr>
            <w:r>
              <w:t xml:space="preserve">Annual collections (~160) </w:t>
            </w:r>
          </w:p>
        </w:tc>
        <w:tc>
          <w:tcPr>
            <w:tcW w:w="1628" w:type="dxa"/>
            <w:vAlign w:val="center"/>
          </w:tcPr>
          <w:p w14:paraId="22FE6A6C" w14:textId="5C331391" w:rsidR="00501E47" w:rsidRDefault="004909AF" w:rsidP="00FA224E">
            <w:pPr>
              <w:jc w:val="center"/>
            </w:pPr>
            <w:r>
              <w:t>V</w:t>
            </w:r>
          </w:p>
        </w:tc>
        <w:tc>
          <w:tcPr>
            <w:tcW w:w="1432" w:type="dxa"/>
            <w:vAlign w:val="center"/>
          </w:tcPr>
          <w:p w14:paraId="154569A9" w14:textId="77777777" w:rsidR="00501E47" w:rsidRDefault="00501E47" w:rsidP="00FA224E">
            <w:pPr>
              <w:jc w:val="center"/>
            </w:pPr>
          </w:p>
        </w:tc>
        <w:tc>
          <w:tcPr>
            <w:tcW w:w="1980" w:type="dxa"/>
            <w:vAlign w:val="center"/>
          </w:tcPr>
          <w:p w14:paraId="22F32341" w14:textId="447EB867" w:rsidR="004909AF" w:rsidRDefault="004909AF" w:rsidP="004572BE">
            <w:proofErr w:type="spellStart"/>
            <w:r>
              <w:t>hbz</w:t>
            </w:r>
            <w:proofErr w:type="spellEnd"/>
            <w:r>
              <w:t xml:space="preserve"> regional content </w:t>
            </w:r>
          </w:p>
        </w:tc>
      </w:tr>
      <w:tr w:rsidR="00501E47" w14:paraId="7A677BB0" w14:textId="77777777" w:rsidTr="0CA80A19">
        <w:tc>
          <w:tcPr>
            <w:tcW w:w="1975" w:type="dxa"/>
            <w:vAlign w:val="center"/>
          </w:tcPr>
          <w:p w14:paraId="43DEE92E" w14:textId="6138E9AE" w:rsidR="00501E47" w:rsidRDefault="004909AF" w:rsidP="00FA224E">
            <w:pPr>
              <w:rPr>
                <w:rFonts w:ascii="Calibri" w:hAnsi="Calibri" w:cs="Calibri"/>
              </w:rPr>
            </w:pPr>
            <w:r>
              <w:rPr>
                <w:rFonts w:ascii="Calibri" w:hAnsi="Calibri" w:cs="Calibri"/>
              </w:rPr>
              <w:t>Oxford University Press</w:t>
            </w:r>
          </w:p>
        </w:tc>
        <w:tc>
          <w:tcPr>
            <w:tcW w:w="3330" w:type="dxa"/>
            <w:vAlign w:val="center"/>
          </w:tcPr>
          <w:p w14:paraId="59A453E4" w14:textId="223904CD" w:rsidR="00501E47" w:rsidRDefault="004909AF" w:rsidP="00FA224E">
            <w:r>
              <w:t xml:space="preserve">Oxford </w:t>
            </w:r>
            <w:r w:rsidRPr="004909AF">
              <w:t>Handbooks Online</w:t>
            </w:r>
            <w:r>
              <w:t xml:space="preserve"> (~30)</w:t>
            </w:r>
          </w:p>
        </w:tc>
        <w:tc>
          <w:tcPr>
            <w:tcW w:w="1628" w:type="dxa"/>
            <w:vAlign w:val="center"/>
          </w:tcPr>
          <w:p w14:paraId="103324ED" w14:textId="0079E1E7" w:rsidR="00501E47" w:rsidRDefault="004909AF" w:rsidP="00FA224E">
            <w:pPr>
              <w:jc w:val="center"/>
            </w:pPr>
            <w:r>
              <w:t>V</w:t>
            </w:r>
          </w:p>
        </w:tc>
        <w:tc>
          <w:tcPr>
            <w:tcW w:w="1432" w:type="dxa"/>
            <w:vAlign w:val="center"/>
          </w:tcPr>
          <w:p w14:paraId="151C5C6F" w14:textId="77777777" w:rsidR="00501E47" w:rsidRDefault="00501E47" w:rsidP="00FA224E">
            <w:pPr>
              <w:jc w:val="center"/>
            </w:pPr>
          </w:p>
        </w:tc>
        <w:tc>
          <w:tcPr>
            <w:tcW w:w="1980" w:type="dxa"/>
            <w:vAlign w:val="center"/>
          </w:tcPr>
          <w:p w14:paraId="7C12DAF9" w14:textId="752313A1" w:rsidR="00501E47" w:rsidRDefault="00501E47" w:rsidP="00F55387"/>
        </w:tc>
      </w:tr>
      <w:tr w:rsidR="00501E47" w14:paraId="75BBBEA1" w14:textId="77777777" w:rsidTr="0CA80A19">
        <w:tc>
          <w:tcPr>
            <w:tcW w:w="1975" w:type="dxa"/>
            <w:vAlign w:val="center"/>
          </w:tcPr>
          <w:p w14:paraId="0FEB7D80" w14:textId="7B7C058D" w:rsidR="00501E47" w:rsidRDefault="00483AFD" w:rsidP="00FA224E">
            <w:pPr>
              <w:rPr>
                <w:rFonts w:ascii="Calibri" w:hAnsi="Calibri" w:cs="Calibri"/>
              </w:rPr>
            </w:pPr>
            <w:r>
              <w:rPr>
                <w:rFonts w:ascii="Calibri" w:hAnsi="Calibri" w:cs="Calibri"/>
              </w:rPr>
              <w:t>ASCE</w:t>
            </w:r>
          </w:p>
        </w:tc>
        <w:tc>
          <w:tcPr>
            <w:tcW w:w="3330" w:type="dxa"/>
            <w:vAlign w:val="center"/>
          </w:tcPr>
          <w:p w14:paraId="583A6247" w14:textId="21486F22" w:rsidR="00501E47" w:rsidRDefault="00483AFD" w:rsidP="00FA224E">
            <w:r w:rsidRPr="00483AFD">
              <w:t>ASCE Legacy Journal Archive</w:t>
            </w:r>
          </w:p>
        </w:tc>
        <w:tc>
          <w:tcPr>
            <w:tcW w:w="1628" w:type="dxa"/>
            <w:vAlign w:val="center"/>
          </w:tcPr>
          <w:p w14:paraId="52D92245" w14:textId="72DC3F1E" w:rsidR="00501E47" w:rsidRDefault="00483AFD" w:rsidP="00FA224E">
            <w:pPr>
              <w:jc w:val="center"/>
            </w:pPr>
            <w:r>
              <w:t>V</w:t>
            </w:r>
          </w:p>
        </w:tc>
        <w:tc>
          <w:tcPr>
            <w:tcW w:w="1432" w:type="dxa"/>
            <w:vAlign w:val="center"/>
          </w:tcPr>
          <w:p w14:paraId="6F04A128" w14:textId="128B9809" w:rsidR="00501E47" w:rsidRDefault="00501E47" w:rsidP="00FA224E">
            <w:pPr>
              <w:jc w:val="center"/>
            </w:pPr>
          </w:p>
        </w:tc>
        <w:tc>
          <w:tcPr>
            <w:tcW w:w="1980" w:type="dxa"/>
            <w:vAlign w:val="center"/>
          </w:tcPr>
          <w:p w14:paraId="1FA7718C" w14:textId="5DB4FDB9" w:rsidR="00501E47" w:rsidRDefault="00501E47" w:rsidP="00F55387"/>
        </w:tc>
      </w:tr>
      <w:tr w:rsidR="00483AFD" w14:paraId="71D3BEAF" w14:textId="77777777" w:rsidTr="0CA80A19">
        <w:tc>
          <w:tcPr>
            <w:tcW w:w="1975" w:type="dxa"/>
            <w:vAlign w:val="center"/>
          </w:tcPr>
          <w:p w14:paraId="7B90E0EC" w14:textId="356E4F23" w:rsidR="00483AFD" w:rsidRDefault="00483AFD" w:rsidP="00FA224E">
            <w:pPr>
              <w:rPr>
                <w:rFonts w:ascii="Calibri" w:hAnsi="Calibri" w:cs="Calibri"/>
              </w:rPr>
            </w:pPr>
            <w:r>
              <w:rPr>
                <w:rFonts w:ascii="Calibri" w:hAnsi="Calibri" w:cs="Calibri"/>
              </w:rPr>
              <w:t>AAAS</w:t>
            </w:r>
          </w:p>
        </w:tc>
        <w:tc>
          <w:tcPr>
            <w:tcW w:w="3330" w:type="dxa"/>
            <w:vAlign w:val="center"/>
          </w:tcPr>
          <w:p w14:paraId="0011BC38" w14:textId="6BE74563" w:rsidR="00483AFD" w:rsidRPr="00483AFD" w:rsidRDefault="00483AFD" w:rsidP="00FA224E">
            <w:r w:rsidRPr="00483AFD">
              <w:t>Association for the Advancement of Science (AAAS)</w:t>
            </w:r>
          </w:p>
        </w:tc>
        <w:tc>
          <w:tcPr>
            <w:tcW w:w="1628" w:type="dxa"/>
            <w:vAlign w:val="center"/>
          </w:tcPr>
          <w:p w14:paraId="436E54D5" w14:textId="225DDBC8" w:rsidR="00483AFD" w:rsidRDefault="00483AFD" w:rsidP="00FA224E">
            <w:pPr>
              <w:jc w:val="center"/>
            </w:pPr>
            <w:r>
              <w:t>V</w:t>
            </w:r>
          </w:p>
        </w:tc>
        <w:tc>
          <w:tcPr>
            <w:tcW w:w="1432" w:type="dxa"/>
            <w:vAlign w:val="center"/>
          </w:tcPr>
          <w:p w14:paraId="7AB95AD3" w14:textId="77777777" w:rsidR="00483AFD" w:rsidRDefault="00483AFD" w:rsidP="00FA224E">
            <w:pPr>
              <w:jc w:val="center"/>
            </w:pPr>
          </w:p>
        </w:tc>
        <w:tc>
          <w:tcPr>
            <w:tcW w:w="1980" w:type="dxa"/>
            <w:vAlign w:val="center"/>
          </w:tcPr>
          <w:p w14:paraId="33DE4A43" w14:textId="03769454" w:rsidR="00483AFD" w:rsidRDefault="00483AFD" w:rsidP="00F55387"/>
        </w:tc>
      </w:tr>
      <w:tr w:rsidR="00483AFD" w14:paraId="59BCBD27" w14:textId="77777777" w:rsidTr="0CA80A19">
        <w:tc>
          <w:tcPr>
            <w:tcW w:w="1975" w:type="dxa"/>
            <w:vAlign w:val="center"/>
          </w:tcPr>
          <w:p w14:paraId="06BFA74D" w14:textId="3D4CF2FD" w:rsidR="00483AFD" w:rsidRDefault="00EE12C1" w:rsidP="00FA224E">
            <w:pPr>
              <w:rPr>
                <w:rFonts w:ascii="Calibri" w:hAnsi="Calibri" w:cs="Calibri"/>
              </w:rPr>
            </w:pPr>
            <w:proofErr w:type="spellStart"/>
            <w:r>
              <w:rPr>
                <w:rFonts w:ascii="Calibri" w:hAnsi="Calibri" w:cs="Calibri"/>
              </w:rPr>
              <w:t>HeinOnline</w:t>
            </w:r>
            <w:proofErr w:type="spellEnd"/>
          </w:p>
        </w:tc>
        <w:tc>
          <w:tcPr>
            <w:tcW w:w="3330" w:type="dxa"/>
            <w:vAlign w:val="center"/>
          </w:tcPr>
          <w:p w14:paraId="1689EEA9" w14:textId="77777777" w:rsidR="00483AFD" w:rsidRDefault="00EE12C1" w:rsidP="007B4516">
            <w:pPr>
              <w:pStyle w:val="ListParagraph"/>
              <w:numPr>
                <w:ilvl w:val="0"/>
                <w:numId w:val="5"/>
              </w:numPr>
              <w:ind w:left="256" w:hanging="180"/>
            </w:pPr>
            <w:proofErr w:type="spellStart"/>
            <w:r w:rsidRPr="00EE12C1">
              <w:t>HeinOnline</w:t>
            </w:r>
            <w:proofErr w:type="spellEnd"/>
            <w:r w:rsidRPr="00EE12C1">
              <w:t xml:space="preserve"> Current Content Program</w:t>
            </w:r>
          </w:p>
          <w:p w14:paraId="0F94C62B" w14:textId="77777777" w:rsidR="007B4516" w:rsidRDefault="007B4516" w:rsidP="007B4516">
            <w:pPr>
              <w:pStyle w:val="ListParagraph"/>
              <w:numPr>
                <w:ilvl w:val="0"/>
                <w:numId w:val="5"/>
              </w:numPr>
              <w:ind w:left="256" w:hanging="180"/>
            </w:pPr>
            <w:proofErr w:type="spellStart"/>
            <w:r w:rsidRPr="007B4516">
              <w:t>HeinOnline</w:t>
            </w:r>
            <w:proofErr w:type="spellEnd"/>
            <w:r w:rsidRPr="007B4516">
              <w:t xml:space="preserve"> U.S. Code</w:t>
            </w:r>
          </w:p>
          <w:p w14:paraId="0181ED3F" w14:textId="4A7254E0" w:rsidR="007B4516" w:rsidRPr="00483AFD" w:rsidRDefault="007B4516" w:rsidP="007B4516">
            <w:pPr>
              <w:pStyle w:val="ListParagraph"/>
              <w:numPr>
                <w:ilvl w:val="0"/>
                <w:numId w:val="5"/>
              </w:numPr>
              <w:ind w:left="256" w:hanging="180"/>
            </w:pPr>
            <w:proofErr w:type="spellStart"/>
            <w:r w:rsidRPr="007B4516">
              <w:t>HeinOnline</w:t>
            </w:r>
            <w:proofErr w:type="spellEnd"/>
            <w:r w:rsidRPr="007B4516">
              <w:t xml:space="preserve"> International Journal of the Jurisprudence of Family Library</w:t>
            </w:r>
            <w:r>
              <w:t xml:space="preserve"> </w:t>
            </w:r>
          </w:p>
        </w:tc>
        <w:tc>
          <w:tcPr>
            <w:tcW w:w="1628" w:type="dxa"/>
            <w:vAlign w:val="center"/>
          </w:tcPr>
          <w:p w14:paraId="70774D2B" w14:textId="5C267623" w:rsidR="00483AFD" w:rsidRDefault="00EE12C1" w:rsidP="00FA224E">
            <w:pPr>
              <w:jc w:val="center"/>
            </w:pPr>
            <w:r>
              <w:t>V</w:t>
            </w:r>
          </w:p>
        </w:tc>
        <w:tc>
          <w:tcPr>
            <w:tcW w:w="1432" w:type="dxa"/>
            <w:vAlign w:val="center"/>
          </w:tcPr>
          <w:p w14:paraId="2BD86F2C" w14:textId="77777777" w:rsidR="00483AFD" w:rsidRDefault="00483AFD" w:rsidP="00FA224E">
            <w:pPr>
              <w:jc w:val="center"/>
            </w:pPr>
          </w:p>
        </w:tc>
        <w:tc>
          <w:tcPr>
            <w:tcW w:w="1980" w:type="dxa"/>
            <w:vAlign w:val="center"/>
          </w:tcPr>
          <w:p w14:paraId="292DB670" w14:textId="72E0899A" w:rsidR="007B4516" w:rsidRDefault="007B4516" w:rsidP="00F55387"/>
        </w:tc>
      </w:tr>
      <w:tr w:rsidR="00EE12C1" w14:paraId="1822139F" w14:textId="77777777" w:rsidTr="0CA80A19">
        <w:tc>
          <w:tcPr>
            <w:tcW w:w="1975" w:type="dxa"/>
            <w:vAlign w:val="center"/>
          </w:tcPr>
          <w:p w14:paraId="153142D4" w14:textId="5F7077BE" w:rsidR="00EE12C1" w:rsidRDefault="00EE12C1" w:rsidP="00FA224E">
            <w:pPr>
              <w:rPr>
                <w:rFonts w:ascii="Calibri" w:hAnsi="Calibri" w:cs="Calibri"/>
              </w:rPr>
            </w:pPr>
            <w:r>
              <w:rPr>
                <w:rFonts w:ascii="Calibri" w:hAnsi="Calibri" w:cs="Calibri"/>
              </w:rPr>
              <w:t>JSTOR</w:t>
            </w:r>
          </w:p>
        </w:tc>
        <w:tc>
          <w:tcPr>
            <w:tcW w:w="3330" w:type="dxa"/>
            <w:vAlign w:val="center"/>
          </w:tcPr>
          <w:p w14:paraId="1DDD6B9A" w14:textId="794FA41C" w:rsidR="00EE12C1" w:rsidRPr="00EE12C1" w:rsidRDefault="00EE12C1" w:rsidP="00FA224E">
            <w:r>
              <w:t>Multiple collections (~20)</w:t>
            </w:r>
          </w:p>
        </w:tc>
        <w:tc>
          <w:tcPr>
            <w:tcW w:w="1628" w:type="dxa"/>
            <w:vAlign w:val="center"/>
          </w:tcPr>
          <w:p w14:paraId="5275A958" w14:textId="7F57C04D" w:rsidR="00EE12C1" w:rsidRDefault="00EE12C1" w:rsidP="00FA224E">
            <w:pPr>
              <w:jc w:val="center"/>
            </w:pPr>
            <w:r>
              <w:t>V</w:t>
            </w:r>
          </w:p>
        </w:tc>
        <w:tc>
          <w:tcPr>
            <w:tcW w:w="1432" w:type="dxa"/>
            <w:vAlign w:val="center"/>
          </w:tcPr>
          <w:p w14:paraId="06EE69DE" w14:textId="77777777" w:rsidR="00EE12C1" w:rsidRDefault="00EE12C1" w:rsidP="00FA224E">
            <w:pPr>
              <w:jc w:val="center"/>
            </w:pPr>
          </w:p>
        </w:tc>
        <w:tc>
          <w:tcPr>
            <w:tcW w:w="1980" w:type="dxa"/>
            <w:vAlign w:val="center"/>
          </w:tcPr>
          <w:p w14:paraId="03601569" w14:textId="2B67C0D9" w:rsidR="00EE12C1" w:rsidRDefault="00EE12C1" w:rsidP="004572BE">
            <w:r>
              <w:t xml:space="preserve">Idea Exchange request(s) </w:t>
            </w:r>
          </w:p>
        </w:tc>
      </w:tr>
      <w:tr w:rsidR="00EE12C1" w14:paraId="69CB4F57" w14:textId="77777777" w:rsidTr="0CA80A19">
        <w:tc>
          <w:tcPr>
            <w:tcW w:w="1975" w:type="dxa"/>
            <w:vAlign w:val="center"/>
          </w:tcPr>
          <w:p w14:paraId="1779BC15" w14:textId="143C9FEC" w:rsidR="00EE12C1" w:rsidRDefault="0044764F" w:rsidP="00FA224E">
            <w:pPr>
              <w:rPr>
                <w:rFonts w:ascii="Calibri" w:hAnsi="Calibri" w:cs="Calibri"/>
              </w:rPr>
            </w:pPr>
            <w:r w:rsidRPr="0044764F">
              <w:rPr>
                <w:rFonts w:ascii="Calibri" w:hAnsi="Calibri" w:cs="Calibri"/>
              </w:rPr>
              <w:t>American Chemical Society</w:t>
            </w:r>
          </w:p>
        </w:tc>
        <w:tc>
          <w:tcPr>
            <w:tcW w:w="3330" w:type="dxa"/>
            <w:vAlign w:val="center"/>
          </w:tcPr>
          <w:p w14:paraId="34313CC8" w14:textId="3CFEF3BB" w:rsidR="00EE12C1" w:rsidRDefault="0044764F" w:rsidP="00FA224E">
            <w:r>
              <w:t>ACS eBook collections (6)</w:t>
            </w:r>
          </w:p>
        </w:tc>
        <w:tc>
          <w:tcPr>
            <w:tcW w:w="1628" w:type="dxa"/>
            <w:vAlign w:val="center"/>
          </w:tcPr>
          <w:p w14:paraId="5FF5A59D" w14:textId="53FA96D1" w:rsidR="00EE12C1" w:rsidRDefault="0044764F" w:rsidP="00FA224E">
            <w:pPr>
              <w:jc w:val="center"/>
            </w:pPr>
            <w:r>
              <w:t>V</w:t>
            </w:r>
          </w:p>
        </w:tc>
        <w:tc>
          <w:tcPr>
            <w:tcW w:w="1432" w:type="dxa"/>
            <w:vAlign w:val="center"/>
          </w:tcPr>
          <w:p w14:paraId="6DDF5385" w14:textId="77777777" w:rsidR="00EE12C1" w:rsidRDefault="00EE12C1" w:rsidP="00FA224E">
            <w:pPr>
              <w:jc w:val="center"/>
            </w:pPr>
          </w:p>
        </w:tc>
        <w:tc>
          <w:tcPr>
            <w:tcW w:w="1980" w:type="dxa"/>
            <w:vAlign w:val="center"/>
          </w:tcPr>
          <w:p w14:paraId="2B940D34" w14:textId="465E0CE0" w:rsidR="00EE12C1" w:rsidRDefault="00EE12C1" w:rsidP="00EE12C1"/>
        </w:tc>
      </w:tr>
      <w:tr w:rsidR="0044764F" w14:paraId="1C4BD3BD" w14:textId="77777777" w:rsidTr="0CA80A19">
        <w:tc>
          <w:tcPr>
            <w:tcW w:w="1975" w:type="dxa"/>
            <w:vAlign w:val="center"/>
          </w:tcPr>
          <w:p w14:paraId="2D1CC0B2" w14:textId="1069FCC1" w:rsidR="0044764F" w:rsidRPr="0044764F" w:rsidRDefault="0044764F" w:rsidP="00FA224E">
            <w:pPr>
              <w:rPr>
                <w:rFonts w:ascii="Calibri" w:hAnsi="Calibri" w:cs="Calibri"/>
              </w:rPr>
            </w:pPr>
            <w:r w:rsidRPr="0044764F">
              <w:t>Knowledge Unlatched</w:t>
            </w:r>
          </w:p>
        </w:tc>
        <w:tc>
          <w:tcPr>
            <w:tcW w:w="3330" w:type="dxa"/>
            <w:vAlign w:val="center"/>
          </w:tcPr>
          <w:p w14:paraId="43192935" w14:textId="7FC9CC4C" w:rsidR="0044764F" w:rsidRDefault="0044764F" w:rsidP="00FA224E">
            <w:r w:rsidRPr="0044764F">
              <w:t>Knowledge Unlatched Language Science Press 2021-2023</w:t>
            </w:r>
          </w:p>
        </w:tc>
        <w:tc>
          <w:tcPr>
            <w:tcW w:w="1628" w:type="dxa"/>
            <w:vAlign w:val="center"/>
          </w:tcPr>
          <w:p w14:paraId="374EA71A" w14:textId="4D12399A" w:rsidR="0044764F" w:rsidRDefault="0044764F" w:rsidP="00FA224E">
            <w:pPr>
              <w:jc w:val="center"/>
            </w:pPr>
            <w:r>
              <w:t>V</w:t>
            </w:r>
          </w:p>
        </w:tc>
        <w:tc>
          <w:tcPr>
            <w:tcW w:w="1432" w:type="dxa"/>
            <w:vAlign w:val="center"/>
          </w:tcPr>
          <w:p w14:paraId="5F6D69E8" w14:textId="77777777" w:rsidR="0044764F" w:rsidRDefault="0044764F" w:rsidP="00FA224E">
            <w:pPr>
              <w:jc w:val="center"/>
            </w:pPr>
          </w:p>
        </w:tc>
        <w:tc>
          <w:tcPr>
            <w:tcW w:w="1980" w:type="dxa"/>
            <w:vAlign w:val="center"/>
          </w:tcPr>
          <w:p w14:paraId="0384E4D8" w14:textId="4DEDF3EE" w:rsidR="0044764F" w:rsidRDefault="0044764F" w:rsidP="004572BE">
            <w:proofErr w:type="spellStart"/>
            <w:r>
              <w:t>hbz</w:t>
            </w:r>
            <w:proofErr w:type="spellEnd"/>
            <w:r>
              <w:t xml:space="preserve"> regional content </w:t>
            </w:r>
          </w:p>
        </w:tc>
      </w:tr>
      <w:tr w:rsidR="0044764F" w14:paraId="28D3A312" w14:textId="77777777" w:rsidTr="0CA80A19">
        <w:tc>
          <w:tcPr>
            <w:tcW w:w="1975" w:type="dxa"/>
            <w:vAlign w:val="center"/>
          </w:tcPr>
          <w:p w14:paraId="5249E9B3" w14:textId="20940B78" w:rsidR="0044764F" w:rsidRPr="0044764F" w:rsidRDefault="0044764F" w:rsidP="00FA224E">
            <w:proofErr w:type="spellStart"/>
            <w:r>
              <w:t>Perlego</w:t>
            </w:r>
            <w:proofErr w:type="spellEnd"/>
          </w:p>
        </w:tc>
        <w:tc>
          <w:tcPr>
            <w:tcW w:w="3330" w:type="dxa"/>
            <w:vAlign w:val="center"/>
          </w:tcPr>
          <w:p w14:paraId="789746EC" w14:textId="77777777" w:rsidR="0044764F" w:rsidRPr="0044764F" w:rsidRDefault="0044764F" w:rsidP="00FA224E"/>
        </w:tc>
        <w:tc>
          <w:tcPr>
            <w:tcW w:w="1628" w:type="dxa"/>
            <w:vAlign w:val="center"/>
          </w:tcPr>
          <w:p w14:paraId="5E88D633" w14:textId="4817309D" w:rsidR="0044764F" w:rsidRDefault="0044764F" w:rsidP="00FA224E">
            <w:pPr>
              <w:jc w:val="center"/>
            </w:pPr>
            <w:r>
              <w:t>V</w:t>
            </w:r>
          </w:p>
        </w:tc>
        <w:tc>
          <w:tcPr>
            <w:tcW w:w="1432" w:type="dxa"/>
            <w:vAlign w:val="center"/>
          </w:tcPr>
          <w:p w14:paraId="428E5624" w14:textId="77777777" w:rsidR="0044764F" w:rsidRDefault="0044764F" w:rsidP="00FA224E">
            <w:pPr>
              <w:jc w:val="center"/>
            </w:pPr>
          </w:p>
        </w:tc>
        <w:tc>
          <w:tcPr>
            <w:tcW w:w="1980" w:type="dxa"/>
            <w:vAlign w:val="center"/>
          </w:tcPr>
          <w:p w14:paraId="698B8754" w14:textId="3CB3D710" w:rsidR="0044764F" w:rsidRDefault="0044764F" w:rsidP="00EE12C1"/>
        </w:tc>
      </w:tr>
      <w:tr w:rsidR="0044764F" w14:paraId="7802986E" w14:textId="77777777" w:rsidTr="0CA80A19">
        <w:tc>
          <w:tcPr>
            <w:tcW w:w="1975" w:type="dxa"/>
            <w:vAlign w:val="center"/>
          </w:tcPr>
          <w:p w14:paraId="462E243C" w14:textId="1AFE5406" w:rsidR="0044764F" w:rsidRDefault="0044764F" w:rsidP="00FA224E">
            <w:r>
              <w:t>Project MUSE</w:t>
            </w:r>
          </w:p>
        </w:tc>
        <w:tc>
          <w:tcPr>
            <w:tcW w:w="3330" w:type="dxa"/>
            <w:vAlign w:val="center"/>
          </w:tcPr>
          <w:p w14:paraId="7330DBE6" w14:textId="515E8D1B" w:rsidR="0044764F" w:rsidRPr="0044764F" w:rsidRDefault="0044764F" w:rsidP="00FA224E">
            <w:r w:rsidRPr="0044764F">
              <w:t>Project Muse All Books</w:t>
            </w:r>
          </w:p>
        </w:tc>
        <w:tc>
          <w:tcPr>
            <w:tcW w:w="1628" w:type="dxa"/>
            <w:vAlign w:val="center"/>
          </w:tcPr>
          <w:p w14:paraId="3470F90C" w14:textId="33582AC9" w:rsidR="0044764F" w:rsidRDefault="0044764F" w:rsidP="00FA224E">
            <w:pPr>
              <w:jc w:val="center"/>
            </w:pPr>
            <w:r>
              <w:t>V</w:t>
            </w:r>
          </w:p>
        </w:tc>
        <w:tc>
          <w:tcPr>
            <w:tcW w:w="1432" w:type="dxa"/>
            <w:vAlign w:val="center"/>
          </w:tcPr>
          <w:p w14:paraId="6D0F09D0" w14:textId="77777777" w:rsidR="0044764F" w:rsidRDefault="0044764F" w:rsidP="00FA224E">
            <w:pPr>
              <w:jc w:val="center"/>
            </w:pPr>
          </w:p>
        </w:tc>
        <w:tc>
          <w:tcPr>
            <w:tcW w:w="1980" w:type="dxa"/>
            <w:vAlign w:val="center"/>
          </w:tcPr>
          <w:p w14:paraId="74F86333" w14:textId="5A4E6657" w:rsidR="0044764F" w:rsidRDefault="0044764F" w:rsidP="00EE12C1"/>
        </w:tc>
      </w:tr>
      <w:tr w:rsidR="0044764F" w14:paraId="0812B300" w14:textId="77777777" w:rsidTr="0CA80A19">
        <w:tc>
          <w:tcPr>
            <w:tcW w:w="1975" w:type="dxa"/>
            <w:vAlign w:val="center"/>
          </w:tcPr>
          <w:p w14:paraId="0AB3A03F" w14:textId="3F9151EF" w:rsidR="0044764F" w:rsidRDefault="00393534" w:rsidP="00FA224E">
            <w:r w:rsidRPr="00393534">
              <w:lastRenderedPageBreak/>
              <w:t>Holocaust Q&amp;A</w:t>
            </w:r>
          </w:p>
        </w:tc>
        <w:tc>
          <w:tcPr>
            <w:tcW w:w="3330" w:type="dxa"/>
            <w:vAlign w:val="center"/>
          </w:tcPr>
          <w:p w14:paraId="28175273" w14:textId="77777777" w:rsidR="0044764F" w:rsidRPr="0044764F" w:rsidRDefault="0044764F" w:rsidP="00FA224E"/>
        </w:tc>
        <w:tc>
          <w:tcPr>
            <w:tcW w:w="1628" w:type="dxa"/>
            <w:vAlign w:val="center"/>
          </w:tcPr>
          <w:p w14:paraId="21C2DD25" w14:textId="45012287" w:rsidR="0044764F" w:rsidRDefault="00393534" w:rsidP="00FA224E">
            <w:pPr>
              <w:jc w:val="center"/>
            </w:pPr>
            <w:r>
              <w:t>V</w:t>
            </w:r>
          </w:p>
        </w:tc>
        <w:tc>
          <w:tcPr>
            <w:tcW w:w="1432" w:type="dxa"/>
            <w:vAlign w:val="center"/>
          </w:tcPr>
          <w:p w14:paraId="4BAAA656" w14:textId="77777777" w:rsidR="0044764F" w:rsidRDefault="0044764F" w:rsidP="00FA224E">
            <w:pPr>
              <w:jc w:val="center"/>
            </w:pPr>
          </w:p>
        </w:tc>
        <w:tc>
          <w:tcPr>
            <w:tcW w:w="1980" w:type="dxa"/>
            <w:vAlign w:val="center"/>
          </w:tcPr>
          <w:p w14:paraId="6CBC1F89" w14:textId="3B28BF9A" w:rsidR="00393534" w:rsidRDefault="00393534" w:rsidP="004572BE">
            <w:r>
              <w:t xml:space="preserve">MELI regional content </w:t>
            </w:r>
          </w:p>
        </w:tc>
      </w:tr>
      <w:tr w:rsidR="00393534" w14:paraId="09712753" w14:textId="77777777" w:rsidTr="0CA80A19">
        <w:tc>
          <w:tcPr>
            <w:tcW w:w="1975" w:type="dxa"/>
            <w:vAlign w:val="center"/>
          </w:tcPr>
          <w:p w14:paraId="3CB65D2B" w14:textId="0A1270CE" w:rsidR="00393534" w:rsidRPr="00393534" w:rsidRDefault="00393534" w:rsidP="00FA224E">
            <w:r w:rsidRPr="00393534">
              <w:t xml:space="preserve">IOP Publishing </w:t>
            </w:r>
          </w:p>
        </w:tc>
        <w:tc>
          <w:tcPr>
            <w:tcW w:w="3330" w:type="dxa"/>
            <w:vAlign w:val="center"/>
          </w:tcPr>
          <w:p w14:paraId="3B2105ED" w14:textId="5193B1EF" w:rsidR="00393534" w:rsidRPr="0044764F" w:rsidRDefault="00393534" w:rsidP="00FA224E">
            <w:r w:rsidRPr="00393534">
              <w:t xml:space="preserve">IOP Publishing Books </w:t>
            </w:r>
            <w:r>
              <w:t>–</w:t>
            </w:r>
            <w:r w:rsidRPr="00393534">
              <w:t xml:space="preserve"> DRAA</w:t>
            </w:r>
          </w:p>
        </w:tc>
        <w:tc>
          <w:tcPr>
            <w:tcW w:w="1628" w:type="dxa"/>
            <w:vAlign w:val="center"/>
          </w:tcPr>
          <w:p w14:paraId="7CED1DA0" w14:textId="2A1DF857" w:rsidR="00393534" w:rsidRDefault="00393534" w:rsidP="00FA224E">
            <w:pPr>
              <w:jc w:val="center"/>
            </w:pPr>
            <w:r>
              <w:t>V</w:t>
            </w:r>
          </w:p>
        </w:tc>
        <w:tc>
          <w:tcPr>
            <w:tcW w:w="1432" w:type="dxa"/>
            <w:vAlign w:val="center"/>
          </w:tcPr>
          <w:p w14:paraId="2F967CBC" w14:textId="77777777" w:rsidR="00393534" w:rsidRDefault="00393534" w:rsidP="00FA224E">
            <w:pPr>
              <w:jc w:val="center"/>
            </w:pPr>
          </w:p>
        </w:tc>
        <w:tc>
          <w:tcPr>
            <w:tcW w:w="1980" w:type="dxa"/>
            <w:vAlign w:val="center"/>
          </w:tcPr>
          <w:p w14:paraId="3B3C0AA5" w14:textId="37915A62" w:rsidR="00393534" w:rsidRDefault="00393534" w:rsidP="004572BE">
            <w:r>
              <w:t>Regional content</w:t>
            </w:r>
          </w:p>
        </w:tc>
      </w:tr>
      <w:tr w:rsidR="00393534" w14:paraId="1A6ED7EF" w14:textId="77777777" w:rsidTr="0CA80A19">
        <w:tc>
          <w:tcPr>
            <w:tcW w:w="1975" w:type="dxa"/>
            <w:vAlign w:val="center"/>
          </w:tcPr>
          <w:p w14:paraId="68C76EAA" w14:textId="61F3ADD7" w:rsidR="00393534" w:rsidRPr="00393534" w:rsidRDefault="00393534" w:rsidP="00FA224E">
            <w:r>
              <w:t>EBSCOhost</w:t>
            </w:r>
          </w:p>
        </w:tc>
        <w:tc>
          <w:tcPr>
            <w:tcW w:w="3330" w:type="dxa"/>
            <w:vAlign w:val="center"/>
          </w:tcPr>
          <w:p w14:paraId="2A0DD726" w14:textId="77777777" w:rsidR="00393534" w:rsidRDefault="00393534" w:rsidP="00393534">
            <w:pPr>
              <w:pStyle w:val="ListParagraph"/>
              <w:numPr>
                <w:ilvl w:val="0"/>
                <w:numId w:val="5"/>
              </w:numPr>
              <w:ind w:left="256" w:hanging="180"/>
            </w:pPr>
            <w:r w:rsidRPr="00393534">
              <w:t>EBSCOhost Literary Reference Center Main Edition</w:t>
            </w:r>
          </w:p>
          <w:p w14:paraId="45ED5848" w14:textId="7EBB3973" w:rsidR="00393534" w:rsidRPr="00393534" w:rsidRDefault="00393534" w:rsidP="00393534">
            <w:pPr>
              <w:pStyle w:val="ListParagraph"/>
              <w:numPr>
                <w:ilvl w:val="0"/>
                <w:numId w:val="5"/>
              </w:numPr>
              <w:ind w:left="256" w:hanging="180"/>
            </w:pPr>
            <w:r w:rsidRPr="00393534">
              <w:t>EBSCOhost Music Index with Full Text</w:t>
            </w:r>
          </w:p>
        </w:tc>
        <w:tc>
          <w:tcPr>
            <w:tcW w:w="1628" w:type="dxa"/>
            <w:vAlign w:val="center"/>
          </w:tcPr>
          <w:p w14:paraId="3D60AAE8" w14:textId="5BA5CDDF" w:rsidR="00393534" w:rsidRDefault="00393534" w:rsidP="00FA224E">
            <w:pPr>
              <w:jc w:val="center"/>
            </w:pPr>
            <w:r>
              <w:t>V</w:t>
            </w:r>
          </w:p>
        </w:tc>
        <w:tc>
          <w:tcPr>
            <w:tcW w:w="1432" w:type="dxa"/>
            <w:vAlign w:val="center"/>
          </w:tcPr>
          <w:p w14:paraId="40895D93" w14:textId="77777777" w:rsidR="00393534" w:rsidRDefault="00393534" w:rsidP="00FA224E">
            <w:pPr>
              <w:jc w:val="center"/>
            </w:pPr>
          </w:p>
        </w:tc>
        <w:tc>
          <w:tcPr>
            <w:tcW w:w="1980" w:type="dxa"/>
            <w:vAlign w:val="center"/>
          </w:tcPr>
          <w:p w14:paraId="70D79B54" w14:textId="5E453B70" w:rsidR="00393534" w:rsidRDefault="00393534" w:rsidP="00EE12C1"/>
        </w:tc>
      </w:tr>
      <w:tr w:rsidR="00393534" w14:paraId="13A4F4CD" w14:textId="77777777" w:rsidTr="0CA80A19">
        <w:tc>
          <w:tcPr>
            <w:tcW w:w="1975" w:type="dxa"/>
            <w:vAlign w:val="center"/>
          </w:tcPr>
          <w:p w14:paraId="0826BA98" w14:textId="1CA4C91D" w:rsidR="00393534" w:rsidRDefault="00393534" w:rsidP="00FA224E">
            <w:r w:rsidRPr="00393534">
              <w:t xml:space="preserve">Wolters Kluwer </w:t>
            </w:r>
          </w:p>
        </w:tc>
        <w:tc>
          <w:tcPr>
            <w:tcW w:w="3330" w:type="dxa"/>
            <w:vAlign w:val="center"/>
          </w:tcPr>
          <w:p w14:paraId="50D10799" w14:textId="01C3C93D" w:rsidR="00393534" w:rsidRPr="00393534" w:rsidRDefault="00393534" w:rsidP="00393534">
            <w:r w:rsidRPr="00393534">
              <w:t>Wolters Kluwer Online Study Aid Library</w:t>
            </w:r>
          </w:p>
        </w:tc>
        <w:tc>
          <w:tcPr>
            <w:tcW w:w="1628" w:type="dxa"/>
            <w:vAlign w:val="center"/>
          </w:tcPr>
          <w:p w14:paraId="7E1D6320" w14:textId="78C42829" w:rsidR="00393534" w:rsidRDefault="007B4516" w:rsidP="00FA224E">
            <w:pPr>
              <w:jc w:val="center"/>
            </w:pPr>
            <w:r>
              <w:t>V</w:t>
            </w:r>
          </w:p>
        </w:tc>
        <w:tc>
          <w:tcPr>
            <w:tcW w:w="1432" w:type="dxa"/>
            <w:vAlign w:val="center"/>
          </w:tcPr>
          <w:p w14:paraId="4870CE11" w14:textId="77777777" w:rsidR="00393534" w:rsidRDefault="00393534" w:rsidP="00FA224E">
            <w:pPr>
              <w:jc w:val="center"/>
            </w:pPr>
          </w:p>
        </w:tc>
        <w:tc>
          <w:tcPr>
            <w:tcW w:w="1980" w:type="dxa"/>
            <w:vAlign w:val="center"/>
          </w:tcPr>
          <w:p w14:paraId="2A9E3D5D" w14:textId="21062FBA" w:rsidR="00393534" w:rsidRDefault="00393534" w:rsidP="00EE12C1"/>
        </w:tc>
      </w:tr>
      <w:tr w:rsidR="007B4516" w14:paraId="7E4E3803" w14:textId="77777777" w:rsidTr="0CA80A19">
        <w:tc>
          <w:tcPr>
            <w:tcW w:w="1975" w:type="dxa"/>
            <w:vAlign w:val="center"/>
          </w:tcPr>
          <w:p w14:paraId="39E2A667" w14:textId="77D50E6F" w:rsidR="007B4516" w:rsidRPr="00393534" w:rsidRDefault="007B4516" w:rsidP="00FA224E">
            <w:r>
              <w:t>Taylor &amp; Francis</w:t>
            </w:r>
          </w:p>
        </w:tc>
        <w:tc>
          <w:tcPr>
            <w:tcW w:w="3330" w:type="dxa"/>
            <w:vAlign w:val="center"/>
          </w:tcPr>
          <w:p w14:paraId="4716819A" w14:textId="5B6CD61F" w:rsidR="007B4516" w:rsidRPr="00393534" w:rsidRDefault="007B4516" w:rsidP="00393534">
            <w:r>
              <w:t>Multiple collections (~90)</w:t>
            </w:r>
          </w:p>
        </w:tc>
        <w:tc>
          <w:tcPr>
            <w:tcW w:w="1628" w:type="dxa"/>
            <w:vAlign w:val="center"/>
          </w:tcPr>
          <w:p w14:paraId="4576D606" w14:textId="765E2101" w:rsidR="007B4516" w:rsidRDefault="007B4516" w:rsidP="00FA224E">
            <w:pPr>
              <w:jc w:val="center"/>
            </w:pPr>
            <w:r>
              <w:t>V</w:t>
            </w:r>
          </w:p>
        </w:tc>
        <w:tc>
          <w:tcPr>
            <w:tcW w:w="1432" w:type="dxa"/>
            <w:vAlign w:val="center"/>
          </w:tcPr>
          <w:p w14:paraId="7AFD7F4A" w14:textId="77777777" w:rsidR="007B4516" w:rsidRDefault="007B4516" w:rsidP="00FA224E">
            <w:pPr>
              <w:jc w:val="center"/>
            </w:pPr>
          </w:p>
        </w:tc>
        <w:tc>
          <w:tcPr>
            <w:tcW w:w="1980" w:type="dxa"/>
            <w:vAlign w:val="center"/>
          </w:tcPr>
          <w:p w14:paraId="6A09354A" w14:textId="0561A59A" w:rsidR="007B4516" w:rsidRDefault="007B4516" w:rsidP="00EE12C1"/>
        </w:tc>
      </w:tr>
    </w:tbl>
    <w:p w14:paraId="08D67B04" w14:textId="77777777" w:rsidR="00C56860" w:rsidRDefault="00C56860"/>
    <w:sectPr w:rsidR="00C56860" w:rsidSect="00CF3030">
      <w:pgSz w:w="12240" w:h="15840"/>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591F17"/>
    <w:multiLevelType w:val="hybridMultilevel"/>
    <w:tmpl w:val="114AB7CA"/>
    <w:lvl w:ilvl="0" w:tplc="D6C6E50E">
      <w:start w:val="202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ED4DD8"/>
    <w:multiLevelType w:val="hybridMultilevel"/>
    <w:tmpl w:val="E9ECA3F4"/>
    <w:lvl w:ilvl="0" w:tplc="8CCC195A">
      <w:start w:val="202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3490A6E"/>
    <w:multiLevelType w:val="hybridMultilevel"/>
    <w:tmpl w:val="5FDAC2C2"/>
    <w:lvl w:ilvl="0" w:tplc="0DD87A82">
      <w:start w:val="2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F2440F1"/>
    <w:multiLevelType w:val="hybridMultilevel"/>
    <w:tmpl w:val="15582872"/>
    <w:lvl w:ilvl="0" w:tplc="D23AA7DC">
      <w:start w:val="21"/>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5FCB2BF6"/>
    <w:multiLevelType w:val="hybridMultilevel"/>
    <w:tmpl w:val="661E1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C5C"/>
    <w:rsid w:val="00001DD1"/>
    <w:rsid w:val="00011681"/>
    <w:rsid w:val="00011F55"/>
    <w:rsid w:val="000164A0"/>
    <w:rsid w:val="00027784"/>
    <w:rsid w:val="00040750"/>
    <w:rsid w:val="00040A6B"/>
    <w:rsid w:val="000563E7"/>
    <w:rsid w:val="0006334A"/>
    <w:rsid w:val="000638C3"/>
    <w:rsid w:val="000665C9"/>
    <w:rsid w:val="00066FD8"/>
    <w:rsid w:val="00077D60"/>
    <w:rsid w:val="000901C2"/>
    <w:rsid w:val="000D4A09"/>
    <w:rsid w:val="000F1872"/>
    <w:rsid w:val="00105B34"/>
    <w:rsid w:val="00111906"/>
    <w:rsid w:val="001227B9"/>
    <w:rsid w:val="00125C85"/>
    <w:rsid w:val="00146FED"/>
    <w:rsid w:val="00147F09"/>
    <w:rsid w:val="0015723A"/>
    <w:rsid w:val="00180D83"/>
    <w:rsid w:val="00181544"/>
    <w:rsid w:val="00186829"/>
    <w:rsid w:val="00195C5C"/>
    <w:rsid w:val="001C68B3"/>
    <w:rsid w:val="001D72E7"/>
    <w:rsid w:val="001E0ACE"/>
    <w:rsid w:val="001F2738"/>
    <w:rsid w:val="00220B6C"/>
    <w:rsid w:val="002523A3"/>
    <w:rsid w:val="002540A7"/>
    <w:rsid w:val="002624F8"/>
    <w:rsid w:val="0026516D"/>
    <w:rsid w:val="002717A1"/>
    <w:rsid w:val="00276A7C"/>
    <w:rsid w:val="002945DD"/>
    <w:rsid w:val="002A0FDB"/>
    <w:rsid w:val="002A1353"/>
    <w:rsid w:val="002A1DAD"/>
    <w:rsid w:val="002A1DFD"/>
    <w:rsid w:val="002B255E"/>
    <w:rsid w:val="002D3CF4"/>
    <w:rsid w:val="002F054F"/>
    <w:rsid w:val="00304D5A"/>
    <w:rsid w:val="00345951"/>
    <w:rsid w:val="00353D0A"/>
    <w:rsid w:val="00360A28"/>
    <w:rsid w:val="00361478"/>
    <w:rsid w:val="00361A1C"/>
    <w:rsid w:val="00370D8E"/>
    <w:rsid w:val="00375AD0"/>
    <w:rsid w:val="00382045"/>
    <w:rsid w:val="0038375E"/>
    <w:rsid w:val="00385C43"/>
    <w:rsid w:val="00391842"/>
    <w:rsid w:val="00393534"/>
    <w:rsid w:val="00394C3D"/>
    <w:rsid w:val="003A0749"/>
    <w:rsid w:val="003A352F"/>
    <w:rsid w:val="003B12C8"/>
    <w:rsid w:val="003B29DB"/>
    <w:rsid w:val="003B2DD0"/>
    <w:rsid w:val="003B4A05"/>
    <w:rsid w:val="003B6359"/>
    <w:rsid w:val="003B6383"/>
    <w:rsid w:val="003C0B68"/>
    <w:rsid w:val="003C21F3"/>
    <w:rsid w:val="003D2620"/>
    <w:rsid w:val="003D65FD"/>
    <w:rsid w:val="003D7E3F"/>
    <w:rsid w:val="003F1F26"/>
    <w:rsid w:val="004028FF"/>
    <w:rsid w:val="00420498"/>
    <w:rsid w:val="004228C5"/>
    <w:rsid w:val="004349F1"/>
    <w:rsid w:val="004372E4"/>
    <w:rsid w:val="0044764F"/>
    <w:rsid w:val="00453332"/>
    <w:rsid w:val="004548F6"/>
    <w:rsid w:val="00455313"/>
    <w:rsid w:val="004572BE"/>
    <w:rsid w:val="00460CE9"/>
    <w:rsid w:val="004727DE"/>
    <w:rsid w:val="00473DD8"/>
    <w:rsid w:val="00475DB8"/>
    <w:rsid w:val="00475E7D"/>
    <w:rsid w:val="00483AFD"/>
    <w:rsid w:val="004909AF"/>
    <w:rsid w:val="004B7D16"/>
    <w:rsid w:val="004C6751"/>
    <w:rsid w:val="004D707F"/>
    <w:rsid w:val="004E0114"/>
    <w:rsid w:val="004F147F"/>
    <w:rsid w:val="004F342A"/>
    <w:rsid w:val="00501E47"/>
    <w:rsid w:val="00515C48"/>
    <w:rsid w:val="00520603"/>
    <w:rsid w:val="00523020"/>
    <w:rsid w:val="00524D8A"/>
    <w:rsid w:val="00540B19"/>
    <w:rsid w:val="005547AC"/>
    <w:rsid w:val="00564EAA"/>
    <w:rsid w:val="00567079"/>
    <w:rsid w:val="00574773"/>
    <w:rsid w:val="0057695D"/>
    <w:rsid w:val="00576C0B"/>
    <w:rsid w:val="00583404"/>
    <w:rsid w:val="005B2800"/>
    <w:rsid w:val="005C7B23"/>
    <w:rsid w:val="005D1031"/>
    <w:rsid w:val="005E24CE"/>
    <w:rsid w:val="0060666B"/>
    <w:rsid w:val="00611041"/>
    <w:rsid w:val="006200B1"/>
    <w:rsid w:val="006259E7"/>
    <w:rsid w:val="00631C78"/>
    <w:rsid w:val="00634247"/>
    <w:rsid w:val="00653907"/>
    <w:rsid w:val="006604A9"/>
    <w:rsid w:val="006608B5"/>
    <w:rsid w:val="00662201"/>
    <w:rsid w:val="00670BDD"/>
    <w:rsid w:val="00677CF1"/>
    <w:rsid w:val="0069222D"/>
    <w:rsid w:val="00693F6B"/>
    <w:rsid w:val="00696A51"/>
    <w:rsid w:val="006A7C89"/>
    <w:rsid w:val="006B5A7B"/>
    <w:rsid w:val="006B6FB8"/>
    <w:rsid w:val="006B7F1E"/>
    <w:rsid w:val="006C42EE"/>
    <w:rsid w:val="006E4C9B"/>
    <w:rsid w:val="00701B1A"/>
    <w:rsid w:val="00721107"/>
    <w:rsid w:val="00727754"/>
    <w:rsid w:val="007339F2"/>
    <w:rsid w:val="007502A6"/>
    <w:rsid w:val="00762642"/>
    <w:rsid w:val="00764066"/>
    <w:rsid w:val="00772716"/>
    <w:rsid w:val="00773D86"/>
    <w:rsid w:val="00782E59"/>
    <w:rsid w:val="007935F9"/>
    <w:rsid w:val="007978B3"/>
    <w:rsid w:val="007B4516"/>
    <w:rsid w:val="007C72F8"/>
    <w:rsid w:val="007C78B0"/>
    <w:rsid w:val="007F566D"/>
    <w:rsid w:val="00814CCB"/>
    <w:rsid w:val="00816152"/>
    <w:rsid w:val="00824F8B"/>
    <w:rsid w:val="00827E89"/>
    <w:rsid w:val="00861B35"/>
    <w:rsid w:val="00880524"/>
    <w:rsid w:val="00885CAB"/>
    <w:rsid w:val="0089339E"/>
    <w:rsid w:val="008B3CFD"/>
    <w:rsid w:val="008D243C"/>
    <w:rsid w:val="008E7E8E"/>
    <w:rsid w:val="008F51E7"/>
    <w:rsid w:val="00904DA2"/>
    <w:rsid w:val="00906F14"/>
    <w:rsid w:val="009146B6"/>
    <w:rsid w:val="00916059"/>
    <w:rsid w:val="009178BE"/>
    <w:rsid w:val="009204C4"/>
    <w:rsid w:val="00925C38"/>
    <w:rsid w:val="00926923"/>
    <w:rsid w:val="00947D46"/>
    <w:rsid w:val="00955E64"/>
    <w:rsid w:val="00961C81"/>
    <w:rsid w:val="00971FE9"/>
    <w:rsid w:val="009737BF"/>
    <w:rsid w:val="0099011A"/>
    <w:rsid w:val="009904A6"/>
    <w:rsid w:val="009931D2"/>
    <w:rsid w:val="00993235"/>
    <w:rsid w:val="00994340"/>
    <w:rsid w:val="009977C8"/>
    <w:rsid w:val="00997B75"/>
    <w:rsid w:val="009A4888"/>
    <w:rsid w:val="009A57BB"/>
    <w:rsid w:val="009B5A45"/>
    <w:rsid w:val="009C469F"/>
    <w:rsid w:val="009C4805"/>
    <w:rsid w:val="009C6B59"/>
    <w:rsid w:val="009E62C8"/>
    <w:rsid w:val="009E6904"/>
    <w:rsid w:val="009F60ED"/>
    <w:rsid w:val="00A02EF9"/>
    <w:rsid w:val="00A16C45"/>
    <w:rsid w:val="00A1799D"/>
    <w:rsid w:val="00A24F73"/>
    <w:rsid w:val="00A321D1"/>
    <w:rsid w:val="00A44A19"/>
    <w:rsid w:val="00A62413"/>
    <w:rsid w:val="00A75E50"/>
    <w:rsid w:val="00A94892"/>
    <w:rsid w:val="00AA2AD6"/>
    <w:rsid w:val="00AA3C01"/>
    <w:rsid w:val="00AC0704"/>
    <w:rsid w:val="00AC1F2F"/>
    <w:rsid w:val="00AC3081"/>
    <w:rsid w:val="00AC40BD"/>
    <w:rsid w:val="00AD0BFA"/>
    <w:rsid w:val="00AD4AD3"/>
    <w:rsid w:val="00AF2B1F"/>
    <w:rsid w:val="00AF55D9"/>
    <w:rsid w:val="00AF6730"/>
    <w:rsid w:val="00B14D1A"/>
    <w:rsid w:val="00B21C4F"/>
    <w:rsid w:val="00B30A4C"/>
    <w:rsid w:val="00B56068"/>
    <w:rsid w:val="00B6060A"/>
    <w:rsid w:val="00B606AA"/>
    <w:rsid w:val="00B62ABB"/>
    <w:rsid w:val="00B63212"/>
    <w:rsid w:val="00B63F9A"/>
    <w:rsid w:val="00B706FD"/>
    <w:rsid w:val="00B76F6F"/>
    <w:rsid w:val="00B83B89"/>
    <w:rsid w:val="00B84479"/>
    <w:rsid w:val="00B8475D"/>
    <w:rsid w:val="00B87654"/>
    <w:rsid w:val="00BA270D"/>
    <w:rsid w:val="00BA7221"/>
    <w:rsid w:val="00BB7420"/>
    <w:rsid w:val="00BC0E9F"/>
    <w:rsid w:val="00BC7B57"/>
    <w:rsid w:val="00BE53C2"/>
    <w:rsid w:val="00BF3D21"/>
    <w:rsid w:val="00BF46B2"/>
    <w:rsid w:val="00BF4884"/>
    <w:rsid w:val="00C0095C"/>
    <w:rsid w:val="00C15458"/>
    <w:rsid w:val="00C2397C"/>
    <w:rsid w:val="00C34CCD"/>
    <w:rsid w:val="00C41784"/>
    <w:rsid w:val="00C51D75"/>
    <w:rsid w:val="00C56860"/>
    <w:rsid w:val="00C57892"/>
    <w:rsid w:val="00C605E4"/>
    <w:rsid w:val="00C87027"/>
    <w:rsid w:val="00C90D8F"/>
    <w:rsid w:val="00C91710"/>
    <w:rsid w:val="00CA42DD"/>
    <w:rsid w:val="00CB1D48"/>
    <w:rsid w:val="00CB4010"/>
    <w:rsid w:val="00CC7A47"/>
    <w:rsid w:val="00CD488A"/>
    <w:rsid w:val="00CE1333"/>
    <w:rsid w:val="00CF3030"/>
    <w:rsid w:val="00CF3D70"/>
    <w:rsid w:val="00D03FAA"/>
    <w:rsid w:val="00D079AB"/>
    <w:rsid w:val="00D34EE7"/>
    <w:rsid w:val="00D763BF"/>
    <w:rsid w:val="00D873C0"/>
    <w:rsid w:val="00D87D40"/>
    <w:rsid w:val="00DA48EC"/>
    <w:rsid w:val="00DE5CE5"/>
    <w:rsid w:val="00DE6B13"/>
    <w:rsid w:val="00DF38A0"/>
    <w:rsid w:val="00E0194D"/>
    <w:rsid w:val="00E053C1"/>
    <w:rsid w:val="00E05A1B"/>
    <w:rsid w:val="00E070C3"/>
    <w:rsid w:val="00E15B72"/>
    <w:rsid w:val="00E22F0C"/>
    <w:rsid w:val="00E231C5"/>
    <w:rsid w:val="00E24F52"/>
    <w:rsid w:val="00E31627"/>
    <w:rsid w:val="00E31D29"/>
    <w:rsid w:val="00E364EE"/>
    <w:rsid w:val="00E428DD"/>
    <w:rsid w:val="00E474EA"/>
    <w:rsid w:val="00E51567"/>
    <w:rsid w:val="00E559F8"/>
    <w:rsid w:val="00E701ED"/>
    <w:rsid w:val="00E82DDA"/>
    <w:rsid w:val="00E95BBF"/>
    <w:rsid w:val="00E96A53"/>
    <w:rsid w:val="00EA2981"/>
    <w:rsid w:val="00EB1B9B"/>
    <w:rsid w:val="00EB7834"/>
    <w:rsid w:val="00EC12C7"/>
    <w:rsid w:val="00EE0A8A"/>
    <w:rsid w:val="00EE12C1"/>
    <w:rsid w:val="00F03A6F"/>
    <w:rsid w:val="00F0767A"/>
    <w:rsid w:val="00F123B7"/>
    <w:rsid w:val="00F24037"/>
    <w:rsid w:val="00F3138D"/>
    <w:rsid w:val="00F319D8"/>
    <w:rsid w:val="00F34620"/>
    <w:rsid w:val="00F34980"/>
    <w:rsid w:val="00F55387"/>
    <w:rsid w:val="00F5723B"/>
    <w:rsid w:val="00F709C8"/>
    <w:rsid w:val="00F73AD0"/>
    <w:rsid w:val="00F81A60"/>
    <w:rsid w:val="00FA224E"/>
    <w:rsid w:val="00FB1B3A"/>
    <w:rsid w:val="00FB27CF"/>
    <w:rsid w:val="00FD0282"/>
    <w:rsid w:val="00FD339F"/>
    <w:rsid w:val="00FE0468"/>
    <w:rsid w:val="00FF0C96"/>
    <w:rsid w:val="00FF2746"/>
    <w:rsid w:val="00FF387B"/>
    <w:rsid w:val="08ED073E"/>
    <w:rsid w:val="0CA80A19"/>
    <w:rsid w:val="12C2C7FE"/>
    <w:rsid w:val="13434D00"/>
    <w:rsid w:val="138843EF"/>
    <w:rsid w:val="14663884"/>
    <w:rsid w:val="21EB8027"/>
    <w:rsid w:val="250E097D"/>
    <w:rsid w:val="2B2E36E1"/>
    <w:rsid w:val="2D080DC5"/>
    <w:rsid w:val="2FCD556F"/>
    <w:rsid w:val="37D8F026"/>
    <w:rsid w:val="4A85DDCA"/>
    <w:rsid w:val="4F91334C"/>
    <w:rsid w:val="59B91AC6"/>
    <w:rsid w:val="6663E1B6"/>
    <w:rsid w:val="6F0D4E16"/>
    <w:rsid w:val="742B789F"/>
    <w:rsid w:val="7E477684"/>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173F0A"/>
  <w15:chartTrackingRefBased/>
  <w15:docId w15:val="{A7F47FEF-CF15-462A-A45B-B77E42486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764F"/>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95C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D707F"/>
    <w:pPr>
      <w:ind w:left="720"/>
      <w:contextualSpacing/>
    </w:pPr>
  </w:style>
  <w:style w:type="paragraph" w:styleId="BalloonText">
    <w:name w:val="Balloon Text"/>
    <w:basedOn w:val="Normal"/>
    <w:link w:val="BalloonTextChar"/>
    <w:uiPriority w:val="99"/>
    <w:semiHidden/>
    <w:unhideWhenUsed/>
    <w:rsid w:val="003614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1478"/>
    <w:rPr>
      <w:rFonts w:ascii="Segoe UI" w:hAnsi="Segoe UI" w:cs="Segoe UI"/>
      <w:sz w:val="18"/>
      <w:szCs w:val="18"/>
    </w:rPr>
  </w:style>
  <w:style w:type="character" w:styleId="CommentReference">
    <w:name w:val="annotation reference"/>
    <w:basedOn w:val="DefaultParagraphFont"/>
    <w:uiPriority w:val="99"/>
    <w:semiHidden/>
    <w:unhideWhenUsed/>
    <w:rsid w:val="00361478"/>
    <w:rPr>
      <w:sz w:val="16"/>
      <w:szCs w:val="16"/>
    </w:rPr>
  </w:style>
  <w:style w:type="paragraph" w:styleId="CommentText">
    <w:name w:val="annotation text"/>
    <w:basedOn w:val="Normal"/>
    <w:link w:val="CommentTextChar"/>
    <w:uiPriority w:val="99"/>
    <w:semiHidden/>
    <w:unhideWhenUsed/>
    <w:rsid w:val="00361478"/>
    <w:pPr>
      <w:spacing w:line="240" w:lineRule="auto"/>
    </w:pPr>
    <w:rPr>
      <w:sz w:val="20"/>
      <w:szCs w:val="20"/>
    </w:rPr>
  </w:style>
  <w:style w:type="character" w:customStyle="1" w:styleId="CommentTextChar">
    <w:name w:val="Comment Text Char"/>
    <w:basedOn w:val="DefaultParagraphFont"/>
    <w:link w:val="CommentText"/>
    <w:uiPriority w:val="99"/>
    <w:semiHidden/>
    <w:rsid w:val="00361478"/>
    <w:rPr>
      <w:sz w:val="20"/>
      <w:szCs w:val="20"/>
    </w:rPr>
  </w:style>
  <w:style w:type="character" w:styleId="Hyperlink">
    <w:name w:val="Hyperlink"/>
    <w:basedOn w:val="DefaultParagraphFont"/>
    <w:uiPriority w:val="99"/>
    <w:unhideWhenUsed/>
    <w:rsid w:val="001E0ACE"/>
    <w:rPr>
      <w:color w:val="0563C1" w:themeColor="hyperlink"/>
      <w:u w:val="single"/>
    </w:rPr>
  </w:style>
  <w:style w:type="character" w:styleId="UnresolvedMention">
    <w:name w:val="Unresolved Mention"/>
    <w:basedOn w:val="DefaultParagraphFont"/>
    <w:uiPriority w:val="99"/>
    <w:semiHidden/>
    <w:unhideWhenUsed/>
    <w:rsid w:val="001E0ACE"/>
    <w:rPr>
      <w:color w:val="605E5C"/>
      <w:shd w:val="clear" w:color="auto" w:fill="E1DFDD"/>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646835">
      <w:bodyDiv w:val="1"/>
      <w:marLeft w:val="0"/>
      <w:marRight w:val="0"/>
      <w:marTop w:val="0"/>
      <w:marBottom w:val="0"/>
      <w:divBdr>
        <w:top w:val="none" w:sz="0" w:space="0" w:color="auto"/>
        <w:left w:val="none" w:sz="0" w:space="0" w:color="auto"/>
        <w:bottom w:val="none" w:sz="0" w:space="0" w:color="auto"/>
        <w:right w:val="none" w:sz="0" w:space="0" w:color="auto"/>
      </w:divBdr>
    </w:div>
    <w:div w:id="82530216">
      <w:bodyDiv w:val="1"/>
      <w:marLeft w:val="0"/>
      <w:marRight w:val="0"/>
      <w:marTop w:val="0"/>
      <w:marBottom w:val="0"/>
      <w:divBdr>
        <w:top w:val="none" w:sz="0" w:space="0" w:color="auto"/>
        <w:left w:val="none" w:sz="0" w:space="0" w:color="auto"/>
        <w:bottom w:val="none" w:sz="0" w:space="0" w:color="auto"/>
        <w:right w:val="none" w:sz="0" w:space="0" w:color="auto"/>
      </w:divBdr>
    </w:div>
    <w:div w:id="140199345">
      <w:bodyDiv w:val="1"/>
      <w:marLeft w:val="0"/>
      <w:marRight w:val="0"/>
      <w:marTop w:val="0"/>
      <w:marBottom w:val="0"/>
      <w:divBdr>
        <w:top w:val="none" w:sz="0" w:space="0" w:color="auto"/>
        <w:left w:val="none" w:sz="0" w:space="0" w:color="auto"/>
        <w:bottom w:val="none" w:sz="0" w:space="0" w:color="auto"/>
        <w:right w:val="none" w:sz="0" w:space="0" w:color="auto"/>
      </w:divBdr>
    </w:div>
    <w:div w:id="140738168">
      <w:bodyDiv w:val="1"/>
      <w:marLeft w:val="0"/>
      <w:marRight w:val="0"/>
      <w:marTop w:val="0"/>
      <w:marBottom w:val="0"/>
      <w:divBdr>
        <w:top w:val="none" w:sz="0" w:space="0" w:color="auto"/>
        <w:left w:val="none" w:sz="0" w:space="0" w:color="auto"/>
        <w:bottom w:val="none" w:sz="0" w:space="0" w:color="auto"/>
        <w:right w:val="none" w:sz="0" w:space="0" w:color="auto"/>
      </w:divBdr>
    </w:div>
    <w:div w:id="145556172">
      <w:bodyDiv w:val="1"/>
      <w:marLeft w:val="0"/>
      <w:marRight w:val="0"/>
      <w:marTop w:val="0"/>
      <w:marBottom w:val="0"/>
      <w:divBdr>
        <w:top w:val="none" w:sz="0" w:space="0" w:color="auto"/>
        <w:left w:val="none" w:sz="0" w:space="0" w:color="auto"/>
        <w:bottom w:val="none" w:sz="0" w:space="0" w:color="auto"/>
        <w:right w:val="none" w:sz="0" w:space="0" w:color="auto"/>
      </w:divBdr>
    </w:div>
    <w:div w:id="193268943">
      <w:bodyDiv w:val="1"/>
      <w:marLeft w:val="0"/>
      <w:marRight w:val="0"/>
      <w:marTop w:val="0"/>
      <w:marBottom w:val="0"/>
      <w:divBdr>
        <w:top w:val="none" w:sz="0" w:space="0" w:color="auto"/>
        <w:left w:val="none" w:sz="0" w:space="0" w:color="auto"/>
        <w:bottom w:val="none" w:sz="0" w:space="0" w:color="auto"/>
        <w:right w:val="none" w:sz="0" w:space="0" w:color="auto"/>
      </w:divBdr>
    </w:div>
    <w:div w:id="344676437">
      <w:bodyDiv w:val="1"/>
      <w:marLeft w:val="0"/>
      <w:marRight w:val="0"/>
      <w:marTop w:val="0"/>
      <w:marBottom w:val="0"/>
      <w:divBdr>
        <w:top w:val="none" w:sz="0" w:space="0" w:color="auto"/>
        <w:left w:val="none" w:sz="0" w:space="0" w:color="auto"/>
        <w:bottom w:val="none" w:sz="0" w:space="0" w:color="auto"/>
        <w:right w:val="none" w:sz="0" w:space="0" w:color="auto"/>
      </w:divBdr>
    </w:div>
    <w:div w:id="364714493">
      <w:bodyDiv w:val="1"/>
      <w:marLeft w:val="0"/>
      <w:marRight w:val="0"/>
      <w:marTop w:val="0"/>
      <w:marBottom w:val="0"/>
      <w:divBdr>
        <w:top w:val="none" w:sz="0" w:space="0" w:color="auto"/>
        <w:left w:val="none" w:sz="0" w:space="0" w:color="auto"/>
        <w:bottom w:val="none" w:sz="0" w:space="0" w:color="auto"/>
        <w:right w:val="none" w:sz="0" w:space="0" w:color="auto"/>
      </w:divBdr>
    </w:div>
    <w:div w:id="375661303">
      <w:bodyDiv w:val="1"/>
      <w:marLeft w:val="0"/>
      <w:marRight w:val="0"/>
      <w:marTop w:val="0"/>
      <w:marBottom w:val="0"/>
      <w:divBdr>
        <w:top w:val="none" w:sz="0" w:space="0" w:color="auto"/>
        <w:left w:val="none" w:sz="0" w:space="0" w:color="auto"/>
        <w:bottom w:val="none" w:sz="0" w:space="0" w:color="auto"/>
        <w:right w:val="none" w:sz="0" w:space="0" w:color="auto"/>
      </w:divBdr>
    </w:div>
    <w:div w:id="404453103">
      <w:bodyDiv w:val="1"/>
      <w:marLeft w:val="0"/>
      <w:marRight w:val="0"/>
      <w:marTop w:val="0"/>
      <w:marBottom w:val="0"/>
      <w:divBdr>
        <w:top w:val="none" w:sz="0" w:space="0" w:color="auto"/>
        <w:left w:val="none" w:sz="0" w:space="0" w:color="auto"/>
        <w:bottom w:val="none" w:sz="0" w:space="0" w:color="auto"/>
        <w:right w:val="none" w:sz="0" w:space="0" w:color="auto"/>
      </w:divBdr>
    </w:div>
    <w:div w:id="415826982">
      <w:bodyDiv w:val="1"/>
      <w:marLeft w:val="0"/>
      <w:marRight w:val="0"/>
      <w:marTop w:val="0"/>
      <w:marBottom w:val="0"/>
      <w:divBdr>
        <w:top w:val="none" w:sz="0" w:space="0" w:color="auto"/>
        <w:left w:val="none" w:sz="0" w:space="0" w:color="auto"/>
        <w:bottom w:val="none" w:sz="0" w:space="0" w:color="auto"/>
        <w:right w:val="none" w:sz="0" w:space="0" w:color="auto"/>
      </w:divBdr>
    </w:div>
    <w:div w:id="426854446">
      <w:bodyDiv w:val="1"/>
      <w:marLeft w:val="0"/>
      <w:marRight w:val="0"/>
      <w:marTop w:val="0"/>
      <w:marBottom w:val="0"/>
      <w:divBdr>
        <w:top w:val="none" w:sz="0" w:space="0" w:color="auto"/>
        <w:left w:val="none" w:sz="0" w:space="0" w:color="auto"/>
        <w:bottom w:val="none" w:sz="0" w:space="0" w:color="auto"/>
        <w:right w:val="none" w:sz="0" w:space="0" w:color="auto"/>
      </w:divBdr>
    </w:div>
    <w:div w:id="430244819">
      <w:bodyDiv w:val="1"/>
      <w:marLeft w:val="0"/>
      <w:marRight w:val="0"/>
      <w:marTop w:val="0"/>
      <w:marBottom w:val="0"/>
      <w:divBdr>
        <w:top w:val="none" w:sz="0" w:space="0" w:color="auto"/>
        <w:left w:val="none" w:sz="0" w:space="0" w:color="auto"/>
        <w:bottom w:val="none" w:sz="0" w:space="0" w:color="auto"/>
        <w:right w:val="none" w:sz="0" w:space="0" w:color="auto"/>
      </w:divBdr>
    </w:div>
    <w:div w:id="430584405">
      <w:bodyDiv w:val="1"/>
      <w:marLeft w:val="0"/>
      <w:marRight w:val="0"/>
      <w:marTop w:val="0"/>
      <w:marBottom w:val="0"/>
      <w:divBdr>
        <w:top w:val="none" w:sz="0" w:space="0" w:color="auto"/>
        <w:left w:val="none" w:sz="0" w:space="0" w:color="auto"/>
        <w:bottom w:val="none" w:sz="0" w:space="0" w:color="auto"/>
        <w:right w:val="none" w:sz="0" w:space="0" w:color="auto"/>
      </w:divBdr>
    </w:div>
    <w:div w:id="433290146">
      <w:bodyDiv w:val="1"/>
      <w:marLeft w:val="0"/>
      <w:marRight w:val="0"/>
      <w:marTop w:val="0"/>
      <w:marBottom w:val="0"/>
      <w:divBdr>
        <w:top w:val="none" w:sz="0" w:space="0" w:color="auto"/>
        <w:left w:val="none" w:sz="0" w:space="0" w:color="auto"/>
        <w:bottom w:val="none" w:sz="0" w:space="0" w:color="auto"/>
        <w:right w:val="none" w:sz="0" w:space="0" w:color="auto"/>
      </w:divBdr>
    </w:div>
    <w:div w:id="469514083">
      <w:bodyDiv w:val="1"/>
      <w:marLeft w:val="0"/>
      <w:marRight w:val="0"/>
      <w:marTop w:val="0"/>
      <w:marBottom w:val="0"/>
      <w:divBdr>
        <w:top w:val="none" w:sz="0" w:space="0" w:color="auto"/>
        <w:left w:val="none" w:sz="0" w:space="0" w:color="auto"/>
        <w:bottom w:val="none" w:sz="0" w:space="0" w:color="auto"/>
        <w:right w:val="none" w:sz="0" w:space="0" w:color="auto"/>
      </w:divBdr>
    </w:div>
    <w:div w:id="492262163">
      <w:bodyDiv w:val="1"/>
      <w:marLeft w:val="0"/>
      <w:marRight w:val="0"/>
      <w:marTop w:val="0"/>
      <w:marBottom w:val="0"/>
      <w:divBdr>
        <w:top w:val="none" w:sz="0" w:space="0" w:color="auto"/>
        <w:left w:val="none" w:sz="0" w:space="0" w:color="auto"/>
        <w:bottom w:val="none" w:sz="0" w:space="0" w:color="auto"/>
        <w:right w:val="none" w:sz="0" w:space="0" w:color="auto"/>
      </w:divBdr>
    </w:div>
    <w:div w:id="522978782">
      <w:bodyDiv w:val="1"/>
      <w:marLeft w:val="0"/>
      <w:marRight w:val="0"/>
      <w:marTop w:val="0"/>
      <w:marBottom w:val="0"/>
      <w:divBdr>
        <w:top w:val="none" w:sz="0" w:space="0" w:color="auto"/>
        <w:left w:val="none" w:sz="0" w:space="0" w:color="auto"/>
        <w:bottom w:val="none" w:sz="0" w:space="0" w:color="auto"/>
        <w:right w:val="none" w:sz="0" w:space="0" w:color="auto"/>
      </w:divBdr>
    </w:div>
    <w:div w:id="524639085">
      <w:bodyDiv w:val="1"/>
      <w:marLeft w:val="0"/>
      <w:marRight w:val="0"/>
      <w:marTop w:val="0"/>
      <w:marBottom w:val="0"/>
      <w:divBdr>
        <w:top w:val="none" w:sz="0" w:space="0" w:color="auto"/>
        <w:left w:val="none" w:sz="0" w:space="0" w:color="auto"/>
        <w:bottom w:val="none" w:sz="0" w:space="0" w:color="auto"/>
        <w:right w:val="none" w:sz="0" w:space="0" w:color="auto"/>
      </w:divBdr>
    </w:div>
    <w:div w:id="557785969">
      <w:bodyDiv w:val="1"/>
      <w:marLeft w:val="0"/>
      <w:marRight w:val="0"/>
      <w:marTop w:val="0"/>
      <w:marBottom w:val="0"/>
      <w:divBdr>
        <w:top w:val="none" w:sz="0" w:space="0" w:color="auto"/>
        <w:left w:val="none" w:sz="0" w:space="0" w:color="auto"/>
        <w:bottom w:val="none" w:sz="0" w:space="0" w:color="auto"/>
        <w:right w:val="none" w:sz="0" w:space="0" w:color="auto"/>
      </w:divBdr>
    </w:div>
    <w:div w:id="562064336">
      <w:bodyDiv w:val="1"/>
      <w:marLeft w:val="0"/>
      <w:marRight w:val="0"/>
      <w:marTop w:val="0"/>
      <w:marBottom w:val="0"/>
      <w:divBdr>
        <w:top w:val="none" w:sz="0" w:space="0" w:color="auto"/>
        <w:left w:val="none" w:sz="0" w:space="0" w:color="auto"/>
        <w:bottom w:val="none" w:sz="0" w:space="0" w:color="auto"/>
        <w:right w:val="none" w:sz="0" w:space="0" w:color="auto"/>
      </w:divBdr>
    </w:div>
    <w:div w:id="586497097">
      <w:bodyDiv w:val="1"/>
      <w:marLeft w:val="0"/>
      <w:marRight w:val="0"/>
      <w:marTop w:val="0"/>
      <w:marBottom w:val="0"/>
      <w:divBdr>
        <w:top w:val="none" w:sz="0" w:space="0" w:color="auto"/>
        <w:left w:val="none" w:sz="0" w:space="0" w:color="auto"/>
        <w:bottom w:val="none" w:sz="0" w:space="0" w:color="auto"/>
        <w:right w:val="none" w:sz="0" w:space="0" w:color="auto"/>
      </w:divBdr>
    </w:div>
    <w:div w:id="595018883">
      <w:bodyDiv w:val="1"/>
      <w:marLeft w:val="0"/>
      <w:marRight w:val="0"/>
      <w:marTop w:val="0"/>
      <w:marBottom w:val="0"/>
      <w:divBdr>
        <w:top w:val="none" w:sz="0" w:space="0" w:color="auto"/>
        <w:left w:val="none" w:sz="0" w:space="0" w:color="auto"/>
        <w:bottom w:val="none" w:sz="0" w:space="0" w:color="auto"/>
        <w:right w:val="none" w:sz="0" w:space="0" w:color="auto"/>
      </w:divBdr>
    </w:div>
    <w:div w:id="599220425">
      <w:bodyDiv w:val="1"/>
      <w:marLeft w:val="0"/>
      <w:marRight w:val="0"/>
      <w:marTop w:val="0"/>
      <w:marBottom w:val="0"/>
      <w:divBdr>
        <w:top w:val="none" w:sz="0" w:space="0" w:color="auto"/>
        <w:left w:val="none" w:sz="0" w:space="0" w:color="auto"/>
        <w:bottom w:val="none" w:sz="0" w:space="0" w:color="auto"/>
        <w:right w:val="none" w:sz="0" w:space="0" w:color="auto"/>
      </w:divBdr>
    </w:div>
    <w:div w:id="602691067">
      <w:bodyDiv w:val="1"/>
      <w:marLeft w:val="0"/>
      <w:marRight w:val="0"/>
      <w:marTop w:val="0"/>
      <w:marBottom w:val="0"/>
      <w:divBdr>
        <w:top w:val="none" w:sz="0" w:space="0" w:color="auto"/>
        <w:left w:val="none" w:sz="0" w:space="0" w:color="auto"/>
        <w:bottom w:val="none" w:sz="0" w:space="0" w:color="auto"/>
        <w:right w:val="none" w:sz="0" w:space="0" w:color="auto"/>
      </w:divBdr>
    </w:div>
    <w:div w:id="658583960">
      <w:bodyDiv w:val="1"/>
      <w:marLeft w:val="0"/>
      <w:marRight w:val="0"/>
      <w:marTop w:val="0"/>
      <w:marBottom w:val="0"/>
      <w:divBdr>
        <w:top w:val="none" w:sz="0" w:space="0" w:color="auto"/>
        <w:left w:val="none" w:sz="0" w:space="0" w:color="auto"/>
        <w:bottom w:val="none" w:sz="0" w:space="0" w:color="auto"/>
        <w:right w:val="none" w:sz="0" w:space="0" w:color="auto"/>
      </w:divBdr>
    </w:div>
    <w:div w:id="758991719">
      <w:bodyDiv w:val="1"/>
      <w:marLeft w:val="0"/>
      <w:marRight w:val="0"/>
      <w:marTop w:val="0"/>
      <w:marBottom w:val="0"/>
      <w:divBdr>
        <w:top w:val="none" w:sz="0" w:space="0" w:color="auto"/>
        <w:left w:val="none" w:sz="0" w:space="0" w:color="auto"/>
        <w:bottom w:val="none" w:sz="0" w:space="0" w:color="auto"/>
        <w:right w:val="none" w:sz="0" w:space="0" w:color="auto"/>
      </w:divBdr>
    </w:div>
    <w:div w:id="765003387">
      <w:bodyDiv w:val="1"/>
      <w:marLeft w:val="0"/>
      <w:marRight w:val="0"/>
      <w:marTop w:val="0"/>
      <w:marBottom w:val="0"/>
      <w:divBdr>
        <w:top w:val="none" w:sz="0" w:space="0" w:color="auto"/>
        <w:left w:val="none" w:sz="0" w:space="0" w:color="auto"/>
        <w:bottom w:val="none" w:sz="0" w:space="0" w:color="auto"/>
        <w:right w:val="none" w:sz="0" w:space="0" w:color="auto"/>
      </w:divBdr>
    </w:div>
    <w:div w:id="905800282">
      <w:bodyDiv w:val="1"/>
      <w:marLeft w:val="0"/>
      <w:marRight w:val="0"/>
      <w:marTop w:val="0"/>
      <w:marBottom w:val="0"/>
      <w:divBdr>
        <w:top w:val="none" w:sz="0" w:space="0" w:color="auto"/>
        <w:left w:val="none" w:sz="0" w:space="0" w:color="auto"/>
        <w:bottom w:val="none" w:sz="0" w:space="0" w:color="auto"/>
        <w:right w:val="none" w:sz="0" w:space="0" w:color="auto"/>
      </w:divBdr>
    </w:div>
    <w:div w:id="952320535">
      <w:bodyDiv w:val="1"/>
      <w:marLeft w:val="0"/>
      <w:marRight w:val="0"/>
      <w:marTop w:val="0"/>
      <w:marBottom w:val="0"/>
      <w:divBdr>
        <w:top w:val="none" w:sz="0" w:space="0" w:color="auto"/>
        <w:left w:val="none" w:sz="0" w:space="0" w:color="auto"/>
        <w:bottom w:val="none" w:sz="0" w:space="0" w:color="auto"/>
        <w:right w:val="none" w:sz="0" w:space="0" w:color="auto"/>
      </w:divBdr>
    </w:div>
    <w:div w:id="954214796">
      <w:bodyDiv w:val="1"/>
      <w:marLeft w:val="0"/>
      <w:marRight w:val="0"/>
      <w:marTop w:val="0"/>
      <w:marBottom w:val="0"/>
      <w:divBdr>
        <w:top w:val="none" w:sz="0" w:space="0" w:color="auto"/>
        <w:left w:val="none" w:sz="0" w:space="0" w:color="auto"/>
        <w:bottom w:val="none" w:sz="0" w:space="0" w:color="auto"/>
        <w:right w:val="none" w:sz="0" w:space="0" w:color="auto"/>
      </w:divBdr>
    </w:div>
    <w:div w:id="963803984">
      <w:bodyDiv w:val="1"/>
      <w:marLeft w:val="0"/>
      <w:marRight w:val="0"/>
      <w:marTop w:val="0"/>
      <w:marBottom w:val="0"/>
      <w:divBdr>
        <w:top w:val="none" w:sz="0" w:space="0" w:color="auto"/>
        <w:left w:val="none" w:sz="0" w:space="0" w:color="auto"/>
        <w:bottom w:val="none" w:sz="0" w:space="0" w:color="auto"/>
        <w:right w:val="none" w:sz="0" w:space="0" w:color="auto"/>
      </w:divBdr>
    </w:div>
    <w:div w:id="1024132717">
      <w:bodyDiv w:val="1"/>
      <w:marLeft w:val="0"/>
      <w:marRight w:val="0"/>
      <w:marTop w:val="0"/>
      <w:marBottom w:val="0"/>
      <w:divBdr>
        <w:top w:val="none" w:sz="0" w:space="0" w:color="auto"/>
        <w:left w:val="none" w:sz="0" w:space="0" w:color="auto"/>
        <w:bottom w:val="none" w:sz="0" w:space="0" w:color="auto"/>
        <w:right w:val="none" w:sz="0" w:space="0" w:color="auto"/>
      </w:divBdr>
    </w:div>
    <w:div w:id="1117406970">
      <w:bodyDiv w:val="1"/>
      <w:marLeft w:val="0"/>
      <w:marRight w:val="0"/>
      <w:marTop w:val="0"/>
      <w:marBottom w:val="0"/>
      <w:divBdr>
        <w:top w:val="none" w:sz="0" w:space="0" w:color="auto"/>
        <w:left w:val="none" w:sz="0" w:space="0" w:color="auto"/>
        <w:bottom w:val="none" w:sz="0" w:space="0" w:color="auto"/>
        <w:right w:val="none" w:sz="0" w:space="0" w:color="auto"/>
      </w:divBdr>
    </w:div>
    <w:div w:id="1130200410">
      <w:bodyDiv w:val="1"/>
      <w:marLeft w:val="0"/>
      <w:marRight w:val="0"/>
      <w:marTop w:val="0"/>
      <w:marBottom w:val="0"/>
      <w:divBdr>
        <w:top w:val="none" w:sz="0" w:space="0" w:color="auto"/>
        <w:left w:val="none" w:sz="0" w:space="0" w:color="auto"/>
        <w:bottom w:val="none" w:sz="0" w:space="0" w:color="auto"/>
        <w:right w:val="none" w:sz="0" w:space="0" w:color="auto"/>
      </w:divBdr>
    </w:div>
    <w:div w:id="1152255074">
      <w:bodyDiv w:val="1"/>
      <w:marLeft w:val="0"/>
      <w:marRight w:val="0"/>
      <w:marTop w:val="0"/>
      <w:marBottom w:val="0"/>
      <w:divBdr>
        <w:top w:val="none" w:sz="0" w:space="0" w:color="auto"/>
        <w:left w:val="none" w:sz="0" w:space="0" w:color="auto"/>
        <w:bottom w:val="none" w:sz="0" w:space="0" w:color="auto"/>
        <w:right w:val="none" w:sz="0" w:space="0" w:color="auto"/>
      </w:divBdr>
    </w:div>
    <w:div w:id="1210731050">
      <w:bodyDiv w:val="1"/>
      <w:marLeft w:val="0"/>
      <w:marRight w:val="0"/>
      <w:marTop w:val="0"/>
      <w:marBottom w:val="0"/>
      <w:divBdr>
        <w:top w:val="none" w:sz="0" w:space="0" w:color="auto"/>
        <w:left w:val="none" w:sz="0" w:space="0" w:color="auto"/>
        <w:bottom w:val="none" w:sz="0" w:space="0" w:color="auto"/>
        <w:right w:val="none" w:sz="0" w:space="0" w:color="auto"/>
      </w:divBdr>
    </w:div>
    <w:div w:id="1213663200">
      <w:bodyDiv w:val="1"/>
      <w:marLeft w:val="0"/>
      <w:marRight w:val="0"/>
      <w:marTop w:val="0"/>
      <w:marBottom w:val="0"/>
      <w:divBdr>
        <w:top w:val="none" w:sz="0" w:space="0" w:color="auto"/>
        <w:left w:val="none" w:sz="0" w:space="0" w:color="auto"/>
        <w:bottom w:val="none" w:sz="0" w:space="0" w:color="auto"/>
        <w:right w:val="none" w:sz="0" w:space="0" w:color="auto"/>
      </w:divBdr>
    </w:div>
    <w:div w:id="1227490911">
      <w:bodyDiv w:val="1"/>
      <w:marLeft w:val="0"/>
      <w:marRight w:val="0"/>
      <w:marTop w:val="0"/>
      <w:marBottom w:val="0"/>
      <w:divBdr>
        <w:top w:val="none" w:sz="0" w:space="0" w:color="auto"/>
        <w:left w:val="none" w:sz="0" w:space="0" w:color="auto"/>
        <w:bottom w:val="none" w:sz="0" w:space="0" w:color="auto"/>
        <w:right w:val="none" w:sz="0" w:space="0" w:color="auto"/>
      </w:divBdr>
    </w:div>
    <w:div w:id="1237210283">
      <w:bodyDiv w:val="1"/>
      <w:marLeft w:val="0"/>
      <w:marRight w:val="0"/>
      <w:marTop w:val="0"/>
      <w:marBottom w:val="0"/>
      <w:divBdr>
        <w:top w:val="none" w:sz="0" w:space="0" w:color="auto"/>
        <w:left w:val="none" w:sz="0" w:space="0" w:color="auto"/>
        <w:bottom w:val="none" w:sz="0" w:space="0" w:color="auto"/>
        <w:right w:val="none" w:sz="0" w:space="0" w:color="auto"/>
      </w:divBdr>
    </w:div>
    <w:div w:id="1295788813">
      <w:bodyDiv w:val="1"/>
      <w:marLeft w:val="0"/>
      <w:marRight w:val="0"/>
      <w:marTop w:val="0"/>
      <w:marBottom w:val="0"/>
      <w:divBdr>
        <w:top w:val="none" w:sz="0" w:space="0" w:color="auto"/>
        <w:left w:val="none" w:sz="0" w:space="0" w:color="auto"/>
        <w:bottom w:val="none" w:sz="0" w:space="0" w:color="auto"/>
        <w:right w:val="none" w:sz="0" w:space="0" w:color="auto"/>
      </w:divBdr>
    </w:div>
    <w:div w:id="1299725570">
      <w:bodyDiv w:val="1"/>
      <w:marLeft w:val="0"/>
      <w:marRight w:val="0"/>
      <w:marTop w:val="0"/>
      <w:marBottom w:val="0"/>
      <w:divBdr>
        <w:top w:val="none" w:sz="0" w:space="0" w:color="auto"/>
        <w:left w:val="none" w:sz="0" w:space="0" w:color="auto"/>
        <w:bottom w:val="none" w:sz="0" w:space="0" w:color="auto"/>
        <w:right w:val="none" w:sz="0" w:space="0" w:color="auto"/>
      </w:divBdr>
    </w:div>
    <w:div w:id="1303920860">
      <w:bodyDiv w:val="1"/>
      <w:marLeft w:val="0"/>
      <w:marRight w:val="0"/>
      <w:marTop w:val="0"/>
      <w:marBottom w:val="0"/>
      <w:divBdr>
        <w:top w:val="none" w:sz="0" w:space="0" w:color="auto"/>
        <w:left w:val="none" w:sz="0" w:space="0" w:color="auto"/>
        <w:bottom w:val="none" w:sz="0" w:space="0" w:color="auto"/>
        <w:right w:val="none" w:sz="0" w:space="0" w:color="auto"/>
      </w:divBdr>
    </w:div>
    <w:div w:id="1313408236">
      <w:bodyDiv w:val="1"/>
      <w:marLeft w:val="0"/>
      <w:marRight w:val="0"/>
      <w:marTop w:val="0"/>
      <w:marBottom w:val="0"/>
      <w:divBdr>
        <w:top w:val="none" w:sz="0" w:space="0" w:color="auto"/>
        <w:left w:val="none" w:sz="0" w:space="0" w:color="auto"/>
        <w:bottom w:val="none" w:sz="0" w:space="0" w:color="auto"/>
        <w:right w:val="none" w:sz="0" w:space="0" w:color="auto"/>
      </w:divBdr>
    </w:div>
    <w:div w:id="1321546538">
      <w:bodyDiv w:val="1"/>
      <w:marLeft w:val="0"/>
      <w:marRight w:val="0"/>
      <w:marTop w:val="0"/>
      <w:marBottom w:val="0"/>
      <w:divBdr>
        <w:top w:val="none" w:sz="0" w:space="0" w:color="auto"/>
        <w:left w:val="none" w:sz="0" w:space="0" w:color="auto"/>
        <w:bottom w:val="none" w:sz="0" w:space="0" w:color="auto"/>
        <w:right w:val="none" w:sz="0" w:space="0" w:color="auto"/>
      </w:divBdr>
    </w:div>
    <w:div w:id="1364479759">
      <w:bodyDiv w:val="1"/>
      <w:marLeft w:val="0"/>
      <w:marRight w:val="0"/>
      <w:marTop w:val="0"/>
      <w:marBottom w:val="0"/>
      <w:divBdr>
        <w:top w:val="none" w:sz="0" w:space="0" w:color="auto"/>
        <w:left w:val="none" w:sz="0" w:space="0" w:color="auto"/>
        <w:bottom w:val="none" w:sz="0" w:space="0" w:color="auto"/>
        <w:right w:val="none" w:sz="0" w:space="0" w:color="auto"/>
      </w:divBdr>
    </w:div>
    <w:div w:id="1432583045">
      <w:bodyDiv w:val="1"/>
      <w:marLeft w:val="0"/>
      <w:marRight w:val="0"/>
      <w:marTop w:val="0"/>
      <w:marBottom w:val="0"/>
      <w:divBdr>
        <w:top w:val="none" w:sz="0" w:space="0" w:color="auto"/>
        <w:left w:val="none" w:sz="0" w:space="0" w:color="auto"/>
        <w:bottom w:val="none" w:sz="0" w:space="0" w:color="auto"/>
        <w:right w:val="none" w:sz="0" w:space="0" w:color="auto"/>
      </w:divBdr>
    </w:div>
    <w:div w:id="1466973948">
      <w:bodyDiv w:val="1"/>
      <w:marLeft w:val="0"/>
      <w:marRight w:val="0"/>
      <w:marTop w:val="0"/>
      <w:marBottom w:val="0"/>
      <w:divBdr>
        <w:top w:val="none" w:sz="0" w:space="0" w:color="auto"/>
        <w:left w:val="none" w:sz="0" w:space="0" w:color="auto"/>
        <w:bottom w:val="none" w:sz="0" w:space="0" w:color="auto"/>
        <w:right w:val="none" w:sz="0" w:space="0" w:color="auto"/>
      </w:divBdr>
    </w:div>
    <w:div w:id="1497183536">
      <w:bodyDiv w:val="1"/>
      <w:marLeft w:val="0"/>
      <w:marRight w:val="0"/>
      <w:marTop w:val="0"/>
      <w:marBottom w:val="0"/>
      <w:divBdr>
        <w:top w:val="none" w:sz="0" w:space="0" w:color="auto"/>
        <w:left w:val="none" w:sz="0" w:space="0" w:color="auto"/>
        <w:bottom w:val="none" w:sz="0" w:space="0" w:color="auto"/>
        <w:right w:val="none" w:sz="0" w:space="0" w:color="auto"/>
      </w:divBdr>
    </w:div>
    <w:div w:id="1509636854">
      <w:bodyDiv w:val="1"/>
      <w:marLeft w:val="0"/>
      <w:marRight w:val="0"/>
      <w:marTop w:val="0"/>
      <w:marBottom w:val="0"/>
      <w:divBdr>
        <w:top w:val="none" w:sz="0" w:space="0" w:color="auto"/>
        <w:left w:val="none" w:sz="0" w:space="0" w:color="auto"/>
        <w:bottom w:val="none" w:sz="0" w:space="0" w:color="auto"/>
        <w:right w:val="none" w:sz="0" w:space="0" w:color="auto"/>
      </w:divBdr>
    </w:div>
    <w:div w:id="1519390459">
      <w:bodyDiv w:val="1"/>
      <w:marLeft w:val="0"/>
      <w:marRight w:val="0"/>
      <w:marTop w:val="0"/>
      <w:marBottom w:val="0"/>
      <w:divBdr>
        <w:top w:val="none" w:sz="0" w:space="0" w:color="auto"/>
        <w:left w:val="none" w:sz="0" w:space="0" w:color="auto"/>
        <w:bottom w:val="none" w:sz="0" w:space="0" w:color="auto"/>
        <w:right w:val="none" w:sz="0" w:space="0" w:color="auto"/>
      </w:divBdr>
    </w:div>
    <w:div w:id="1527061937">
      <w:bodyDiv w:val="1"/>
      <w:marLeft w:val="0"/>
      <w:marRight w:val="0"/>
      <w:marTop w:val="0"/>
      <w:marBottom w:val="0"/>
      <w:divBdr>
        <w:top w:val="none" w:sz="0" w:space="0" w:color="auto"/>
        <w:left w:val="none" w:sz="0" w:space="0" w:color="auto"/>
        <w:bottom w:val="none" w:sz="0" w:space="0" w:color="auto"/>
        <w:right w:val="none" w:sz="0" w:space="0" w:color="auto"/>
      </w:divBdr>
    </w:div>
    <w:div w:id="1541474953">
      <w:bodyDiv w:val="1"/>
      <w:marLeft w:val="0"/>
      <w:marRight w:val="0"/>
      <w:marTop w:val="0"/>
      <w:marBottom w:val="0"/>
      <w:divBdr>
        <w:top w:val="none" w:sz="0" w:space="0" w:color="auto"/>
        <w:left w:val="none" w:sz="0" w:space="0" w:color="auto"/>
        <w:bottom w:val="none" w:sz="0" w:space="0" w:color="auto"/>
        <w:right w:val="none" w:sz="0" w:space="0" w:color="auto"/>
      </w:divBdr>
    </w:div>
    <w:div w:id="1555114387">
      <w:bodyDiv w:val="1"/>
      <w:marLeft w:val="0"/>
      <w:marRight w:val="0"/>
      <w:marTop w:val="0"/>
      <w:marBottom w:val="0"/>
      <w:divBdr>
        <w:top w:val="none" w:sz="0" w:space="0" w:color="auto"/>
        <w:left w:val="none" w:sz="0" w:space="0" w:color="auto"/>
        <w:bottom w:val="none" w:sz="0" w:space="0" w:color="auto"/>
        <w:right w:val="none" w:sz="0" w:space="0" w:color="auto"/>
      </w:divBdr>
    </w:div>
    <w:div w:id="1672877447">
      <w:bodyDiv w:val="1"/>
      <w:marLeft w:val="0"/>
      <w:marRight w:val="0"/>
      <w:marTop w:val="0"/>
      <w:marBottom w:val="0"/>
      <w:divBdr>
        <w:top w:val="none" w:sz="0" w:space="0" w:color="auto"/>
        <w:left w:val="none" w:sz="0" w:space="0" w:color="auto"/>
        <w:bottom w:val="none" w:sz="0" w:space="0" w:color="auto"/>
        <w:right w:val="none" w:sz="0" w:space="0" w:color="auto"/>
      </w:divBdr>
    </w:div>
    <w:div w:id="1696692278">
      <w:bodyDiv w:val="1"/>
      <w:marLeft w:val="0"/>
      <w:marRight w:val="0"/>
      <w:marTop w:val="0"/>
      <w:marBottom w:val="0"/>
      <w:divBdr>
        <w:top w:val="none" w:sz="0" w:space="0" w:color="auto"/>
        <w:left w:val="none" w:sz="0" w:space="0" w:color="auto"/>
        <w:bottom w:val="none" w:sz="0" w:space="0" w:color="auto"/>
        <w:right w:val="none" w:sz="0" w:space="0" w:color="auto"/>
      </w:divBdr>
    </w:div>
    <w:div w:id="1786580075">
      <w:bodyDiv w:val="1"/>
      <w:marLeft w:val="0"/>
      <w:marRight w:val="0"/>
      <w:marTop w:val="0"/>
      <w:marBottom w:val="0"/>
      <w:divBdr>
        <w:top w:val="none" w:sz="0" w:space="0" w:color="auto"/>
        <w:left w:val="none" w:sz="0" w:space="0" w:color="auto"/>
        <w:bottom w:val="none" w:sz="0" w:space="0" w:color="auto"/>
        <w:right w:val="none" w:sz="0" w:space="0" w:color="auto"/>
      </w:divBdr>
    </w:div>
    <w:div w:id="1805734022">
      <w:bodyDiv w:val="1"/>
      <w:marLeft w:val="0"/>
      <w:marRight w:val="0"/>
      <w:marTop w:val="0"/>
      <w:marBottom w:val="0"/>
      <w:divBdr>
        <w:top w:val="none" w:sz="0" w:space="0" w:color="auto"/>
        <w:left w:val="none" w:sz="0" w:space="0" w:color="auto"/>
        <w:bottom w:val="none" w:sz="0" w:space="0" w:color="auto"/>
        <w:right w:val="none" w:sz="0" w:space="0" w:color="auto"/>
      </w:divBdr>
    </w:div>
    <w:div w:id="1820729734">
      <w:bodyDiv w:val="1"/>
      <w:marLeft w:val="0"/>
      <w:marRight w:val="0"/>
      <w:marTop w:val="0"/>
      <w:marBottom w:val="0"/>
      <w:divBdr>
        <w:top w:val="none" w:sz="0" w:space="0" w:color="auto"/>
        <w:left w:val="none" w:sz="0" w:space="0" w:color="auto"/>
        <w:bottom w:val="none" w:sz="0" w:space="0" w:color="auto"/>
        <w:right w:val="none" w:sz="0" w:space="0" w:color="auto"/>
      </w:divBdr>
    </w:div>
    <w:div w:id="1833984584">
      <w:bodyDiv w:val="1"/>
      <w:marLeft w:val="0"/>
      <w:marRight w:val="0"/>
      <w:marTop w:val="0"/>
      <w:marBottom w:val="0"/>
      <w:divBdr>
        <w:top w:val="none" w:sz="0" w:space="0" w:color="auto"/>
        <w:left w:val="none" w:sz="0" w:space="0" w:color="auto"/>
        <w:bottom w:val="none" w:sz="0" w:space="0" w:color="auto"/>
        <w:right w:val="none" w:sz="0" w:space="0" w:color="auto"/>
      </w:divBdr>
    </w:div>
    <w:div w:id="1873348773">
      <w:bodyDiv w:val="1"/>
      <w:marLeft w:val="0"/>
      <w:marRight w:val="0"/>
      <w:marTop w:val="0"/>
      <w:marBottom w:val="0"/>
      <w:divBdr>
        <w:top w:val="none" w:sz="0" w:space="0" w:color="auto"/>
        <w:left w:val="none" w:sz="0" w:space="0" w:color="auto"/>
        <w:bottom w:val="none" w:sz="0" w:space="0" w:color="auto"/>
        <w:right w:val="none" w:sz="0" w:space="0" w:color="auto"/>
      </w:divBdr>
    </w:div>
    <w:div w:id="1875532137">
      <w:bodyDiv w:val="1"/>
      <w:marLeft w:val="0"/>
      <w:marRight w:val="0"/>
      <w:marTop w:val="0"/>
      <w:marBottom w:val="0"/>
      <w:divBdr>
        <w:top w:val="none" w:sz="0" w:space="0" w:color="auto"/>
        <w:left w:val="none" w:sz="0" w:space="0" w:color="auto"/>
        <w:bottom w:val="none" w:sz="0" w:space="0" w:color="auto"/>
        <w:right w:val="none" w:sz="0" w:space="0" w:color="auto"/>
      </w:divBdr>
    </w:div>
    <w:div w:id="1926499612">
      <w:bodyDiv w:val="1"/>
      <w:marLeft w:val="0"/>
      <w:marRight w:val="0"/>
      <w:marTop w:val="0"/>
      <w:marBottom w:val="0"/>
      <w:divBdr>
        <w:top w:val="none" w:sz="0" w:space="0" w:color="auto"/>
        <w:left w:val="none" w:sz="0" w:space="0" w:color="auto"/>
        <w:bottom w:val="none" w:sz="0" w:space="0" w:color="auto"/>
        <w:right w:val="none" w:sz="0" w:space="0" w:color="auto"/>
      </w:divBdr>
    </w:div>
    <w:div w:id="2125495381">
      <w:bodyDiv w:val="1"/>
      <w:marLeft w:val="0"/>
      <w:marRight w:val="0"/>
      <w:marTop w:val="0"/>
      <w:marBottom w:val="0"/>
      <w:divBdr>
        <w:top w:val="none" w:sz="0" w:space="0" w:color="auto"/>
        <w:left w:val="none" w:sz="0" w:space="0" w:color="auto"/>
        <w:bottom w:val="none" w:sz="0" w:space="0" w:color="auto"/>
        <w:right w:val="none" w:sz="0" w:space="0" w:color="auto"/>
      </w:divBdr>
    </w:div>
    <w:div w:id="2146194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knowledge.exlibrisgroup.com/Alma/Content_Corner/Supporting_Resources/Alma%3A_Annual_Collections_2022" TargetMode="External"/><Relationship Id="rId5" Type="http://schemas.openxmlformats.org/officeDocument/2006/relationships/numbering" Target="numbering.xml"/><Relationship Id="rId10" Type="http://schemas.openxmlformats.org/officeDocument/2006/relationships/hyperlink" Target="https://knowledge.exlibrisgroup.com/SFX/Content_Corner/Knowledge_Articles/SFX%3A_Annual_Collections_2022" TargetMode="External"/><Relationship Id="rId4" Type="http://schemas.openxmlformats.org/officeDocument/2006/relationships/customXml" Target="../customXml/item4.xml"/><Relationship Id="rId9" Type="http://schemas.openxmlformats.org/officeDocument/2006/relationships/hyperlink" Target="https://knowledge.exlibrisgroup.com/360_KB/Knowledge_Articles/360_KB%3A_Annual_Collections_20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7C166700EAA19438F4F8232B42BE5BD" ma:contentTypeVersion="13" ma:contentTypeDescription="Create a new document." ma:contentTypeScope="" ma:versionID="34a8adecdfdc188294fde2e4d1a25c4e">
  <xsd:schema xmlns:xsd="http://www.w3.org/2001/XMLSchema" xmlns:xs="http://www.w3.org/2001/XMLSchema" xmlns:p="http://schemas.microsoft.com/office/2006/metadata/properties" xmlns:ns3="ca890ac0-05c3-404d-bdc6-32e25bff8c4a" xmlns:ns4="38e1cc99-e203-4365-a43e-4b8c5fbfadac" targetNamespace="http://schemas.microsoft.com/office/2006/metadata/properties" ma:root="true" ma:fieldsID="1cdf4f868edad6a5541f583eb63c91cd" ns3:_="" ns4:_="">
    <xsd:import namespace="ca890ac0-05c3-404d-bdc6-32e25bff8c4a"/>
    <xsd:import namespace="38e1cc99-e203-4365-a43e-4b8c5fbfadac"/>
    <xsd:element name="properties">
      <xsd:complexType>
        <xsd:sequence>
          <xsd:element name="documentManagement">
            <xsd:complexType>
              <xsd:all>
                <xsd:element ref="ns3:MediaServiceMetadata" minOccurs="0"/>
                <xsd:element ref="ns3:MediaServiceFastMetadata" minOccurs="0"/>
                <xsd:element ref="ns3:MediaServiceEventHashCode" minOccurs="0"/>
                <xsd:element ref="ns3:MediaServiceGenerationTime" minOccurs="0"/>
                <xsd:element ref="ns3:MediaServiceDateTaken" minOccurs="0"/>
                <xsd:element ref="ns3:MediaServiceAutoTags" minOccurs="0"/>
                <xsd:element ref="ns3:MediaServiceOCR"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890ac0-05c3-404d-bdc6-32e25bff8c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8e1cc99-e203-4365-a43e-4b8c5fbfada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2AEB620-492D-4A48-8AB7-3F18F70B61C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96FBB0B-13FB-4DA0-8B3D-08E160FF8FD0}">
  <ds:schemaRefs>
    <ds:schemaRef ds:uri="http://schemas.openxmlformats.org/officeDocument/2006/bibliography"/>
  </ds:schemaRefs>
</ds:datastoreItem>
</file>

<file path=customXml/itemProps3.xml><?xml version="1.0" encoding="utf-8"?>
<ds:datastoreItem xmlns:ds="http://schemas.openxmlformats.org/officeDocument/2006/customXml" ds:itemID="{B71F8D74-FC77-4AEA-88B9-07C9669927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890ac0-05c3-404d-bdc6-32e25bff8c4a"/>
    <ds:schemaRef ds:uri="38e1cc99-e203-4365-a43e-4b8c5fbfad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CDCB36-3505-4D88-9555-8F803344B5A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552</Words>
  <Characters>3148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Rael Elstein</dc:creator>
  <cp:keywords/>
  <dc:description/>
  <cp:lastModifiedBy>Rael Elstein</cp:lastModifiedBy>
  <cp:revision>4</cp:revision>
  <dcterms:created xsi:type="dcterms:W3CDTF">2021-09-29T15:16:00Z</dcterms:created>
  <dcterms:modified xsi:type="dcterms:W3CDTF">2021-09-29T15:20:00Z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0x01010037C166700EAA19438F4F8232B42BE5BD</vt:lpwstr>
  </property>
</Properties>
</file>